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9C" w:rsidRDefault="006D1D9C" w:rsidP="006D1D9C">
      <w:pPr>
        <w:pStyle w:val="Prrafodelista"/>
        <w:tabs>
          <w:tab w:val="left" w:pos="1134"/>
        </w:tabs>
        <w:spacing w:line="276" w:lineRule="auto"/>
        <w:ind w:left="1134"/>
        <w:rPr>
          <w:rFonts w:ascii="Humanst521 BT" w:hAnsi="Humanst521 BT" w:cs="Arial"/>
          <w:sz w:val="22"/>
          <w:szCs w:val="22"/>
        </w:rPr>
      </w:pPr>
    </w:p>
    <w:p w:rsidR="006D1D9C" w:rsidRPr="00E24396" w:rsidRDefault="006D1D9C" w:rsidP="006D1D9C">
      <w:pPr>
        <w:spacing w:line="276" w:lineRule="auto"/>
        <w:ind w:left="142" w:right="320"/>
        <w:rPr>
          <w:rFonts w:ascii="Humanst521 BT" w:eastAsia="Tahoma" w:hAnsi="Humanst521 BT" w:cs="Arial"/>
          <w:b/>
          <w:spacing w:val="1"/>
          <w:sz w:val="22"/>
          <w:szCs w:val="22"/>
        </w:rPr>
      </w:pPr>
      <w:r>
        <w:rPr>
          <w:rFonts w:ascii="Humanst521 BT" w:eastAsia="Tahoma" w:hAnsi="Humanst521 BT" w:cs="Arial"/>
          <w:b/>
          <w:spacing w:val="1"/>
          <w:sz w:val="22"/>
          <w:szCs w:val="22"/>
        </w:rPr>
        <w:t>Artículo 39</w:t>
      </w:r>
      <w:r w:rsidRPr="00E24396">
        <w:rPr>
          <w:rFonts w:ascii="Humanst521 BT" w:eastAsia="Tahoma" w:hAnsi="Humanst521 BT" w:cs="Arial"/>
          <w:b/>
          <w:spacing w:val="1"/>
          <w:sz w:val="22"/>
          <w:szCs w:val="22"/>
        </w:rPr>
        <w:t>.</w:t>
      </w:r>
    </w:p>
    <w:p w:rsidR="006D1D9C" w:rsidRPr="00E24396" w:rsidRDefault="006D1D9C" w:rsidP="006D1D9C">
      <w:pPr>
        <w:pStyle w:val="Textoindependiente"/>
        <w:numPr>
          <w:ilvl w:val="0"/>
          <w:numId w:val="2"/>
        </w:numPr>
        <w:jc w:val="left"/>
        <w:rPr>
          <w:rFonts w:cs="Tahoma"/>
          <w:sz w:val="22"/>
          <w:szCs w:val="22"/>
        </w:rPr>
      </w:pPr>
      <w:r w:rsidRPr="00E24396">
        <w:rPr>
          <w:rFonts w:cs="Tahoma"/>
          <w:sz w:val="22"/>
          <w:szCs w:val="22"/>
        </w:rPr>
        <w:t>El Titular Ejecutivo del Departamento de Control Interno t</w:t>
      </w:r>
      <w:r>
        <w:rPr>
          <w:rFonts w:cs="Tahoma"/>
          <w:sz w:val="22"/>
          <w:szCs w:val="22"/>
        </w:rPr>
        <w:t xml:space="preserve">endrá a su cargo las siguientes                              </w:t>
      </w:r>
      <w:r w:rsidRPr="00E24396">
        <w:rPr>
          <w:rFonts w:cs="Tahoma"/>
          <w:sz w:val="22"/>
          <w:szCs w:val="22"/>
        </w:rPr>
        <w:t>atribuciones:</w:t>
      </w:r>
    </w:p>
    <w:p w:rsidR="006D1D9C" w:rsidRPr="00E24396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cs="Tahoma"/>
          <w:sz w:val="22"/>
          <w:szCs w:val="22"/>
        </w:rPr>
      </w:pPr>
      <w:r w:rsidRPr="00E24396">
        <w:rPr>
          <w:rFonts w:cs="Tahoma"/>
          <w:sz w:val="22"/>
          <w:szCs w:val="22"/>
        </w:rPr>
        <w:t xml:space="preserve">Auxiliar a la Comisión de Control Interno en el trámite de las denuncias, quejas y visitas que en el ámbito de su competencia le corresponda conocer a la Comisión de Control Interno; </w:t>
      </w:r>
    </w:p>
    <w:p w:rsidR="006D1D9C" w:rsidRPr="00074EDB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cs="Tahoma"/>
          <w:sz w:val="22"/>
          <w:szCs w:val="22"/>
        </w:rPr>
      </w:pPr>
      <w:r w:rsidRPr="00074EDB">
        <w:rPr>
          <w:rFonts w:cs="Tahoma"/>
          <w:sz w:val="22"/>
          <w:szCs w:val="22"/>
        </w:rPr>
        <w:t>Citar al servidor público presunto responsable a la audiencia de Ley y desahogar las demás etapas del procedimiento administrativo de responsabilidad, así como determinar las medidas que se estimen pertinentes para su debida sustanciación;</w:t>
      </w:r>
    </w:p>
    <w:p w:rsidR="006D1D9C" w:rsidRPr="00074EDB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cs="Tahoma"/>
          <w:sz w:val="22"/>
          <w:szCs w:val="22"/>
        </w:rPr>
      </w:pPr>
      <w:r w:rsidRPr="00074EDB">
        <w:rPr>
          <w:rFonts w:cs="Tahoma"/>
          <w:sz w:val="22"/>
          <w:szCs w:val="22"/>
        </w:rPr>
        <w:t>Elaborar y someter a consideración de la Comisión de Control Interno los proyectos de resoluciones correspondientes a los procedimientos administrativos de responsabilidad;</w:t>
      </w:r>
    </w:p>
    <w:p w:rsidR="006D1D9C" w:rsidRPr="00074EDB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cs="Tahoma"/>
          <w:sz w:val="22"/>
          <w:szCs w:val="22"/>
        </w:rPr>
      </w:pPr>
      <w:r w:rsidRPr="00074EDB">
        <w:rPr>
          <w:rFonts w:cs="Tahoma"/>
          <w:sz w:val="22"/>
          <w:szCs w:val="22"/>
        </w:rPr>
        <w:t>Promover, recibir, y resguardar las declaraciones de situación patrimonial;</w:t>
      </w:r>
    </w:p>
    <w:p w:rsidR="006D1D9C" w:rsidRPr="00074EDB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cs="Tahoma"/>
          <w:sz w:val="22"/>
          <w:szCs w:val="22"/>
        </w:rPr>
      </w:pPr>
      <w:r w:rsidRPr="00074EDB">
        <w:rPr>
          <w:rFonts w:cs="Tahoma"/>
          <w:sz w:val="22"/>
          <w:szCs w:val="22"/>
        </w:rPr>
        <w:t>Revisar la veracidad del contenido de las declaraciones de situación patrimonial;</w:t>
      </w:r>
    </w:p>
    <w:p w:rsidR="006D1D9C" w:rsidRPr="00074EDB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cs="Tahoma"/>
          <w:sz w:val="22"/>
          <w:szCs w:val="22"/>
        </w:rPr>
      </w:pPr>
      <w:r w:rsidRPr="00074EDB">
        <w:rPr>
          <w:rFonts w:cs="Tahoma"/>
          <w:sz w:val="22"/>
          <w:szCs w:val="22"/>
        </w:rPr>
        <w:t>Intervenir en los procesos de entrega y recepción de los asuntos y recursos públicos del Instituto;</w:t>
      </w:r>
    </w:p>
    <w:p w:rsidR="006D1D9C" w:rsidRPr="00074EDB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cs="Tahoma"/>
          <w:sz w:val="22"/>
          <w:szCs w:val="22"/>
        </w:rPr>
      </w:pPr>
      <w:r w:rsidRPr="00074EDB">
        <w:rPr>
          <w:rFonts w:cs="Tahoma"/>
          <w:sz w:val="22"/>
          <w:szCs w:val="22"/>
        </w:rPr>
        <w:t>Elaborar y someter a consideración del Consejero Presidente el proyecto de Programa Mínimo de Auditoría para el Instituto, para su aprobación por el Consejo General Electoral;</w:t>
      </w:r>
    </w:p>
    <w:p w:rsidR="006D1D9C" w:rsidRPr="00074EDB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cs="Tahoma"/>
          <w:sz w:val="22"/>
          <w:szCs w:val="22"/>
        </w:rPr>
      </w:pPr>
      <w:r w:rsidRPr="00074EDB">
        <w:rPr>
          <w:rFonts w:cs="Tahoma"/>
          <w:sz w:val="22"/>
          <w:szCs w:val="22"/>
        </w:rPr>
        <w:t>Vigilar y Verificar el correcto ejercicio del gasto público, a través de visitas e inspecciones y auditorias conforme al Programa Mínimo de Auditoría que se fije para el Instituto;</w:t>
      </w:r>
    </w:p>
    <w:p w:rsidR="006D1D9C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cs="Tahoma"/>
          <w:sz w:val="22"/>
          <w:szCs w:val="22"/>
        </w:rPr>
      </w:pPr>
      <w:r w:rsidRPr="00074EDB">
        <w:rPr>
          <w:rFonts w:cs="Tahoma"/>
          <w:sz w:val="22"/>
          <w:szCs w:val="22"/>
        </w:rPr>
        <w:t>Solicitar a la Secretaría Ejecutiva lo referente al avance de las observaciones de la cuenta pública del Instituto, y</w:t>
      </w:r>
    </w:p>
    <w:p w:rsidR="006D1D9C" w:rsidRPr="00FB6FBC" w:rsidRDefault="006D1D9C" w:rsidP="006D1D9C">
      <w:pPr>
        <w:pStyle w:val="Textoindependiente"/>
        <w:numPr>
          <w:ilvl w:val="0"/>
          <w:numId w:val="1"/>
        </w:numPr>
        <w:tabs>
          <w:tab w:val="left" w:pos="1134"/>
        </w:tabs>
        <w:spacing w:line="276" w:lineRule="auto"/>
        <w:ind w:left="1134" w:hanging="567"/>
        <w:jc w:val="left"/>
        <w:rPr>
          <w:rFonts w:eastAsia="Tahoma" w:cs="Arial"/>
          <w:b/>
          <w:spacing w:val="1"/>
          <w:sz w:val="22"/>
          <w:szCs w:val="22"/>
        </w:rPr>
      </w:pPr>
      <w:r w:rsidRPr="00074EDB">
        <w:rPr>
          <w:rFonts w:cs="Tahoma"/>
          <w:sz w:val="22"/>
          <w:szCs w:val="22"/>
        </w:rPr>
        <w:t>Las demás que le confieran las disposiciones legales y normativas aplicables.</w:t>
      </w:r>
    </w:p>
    <w:p w:rsidR="00EF4515" w:rsidRDefault="00EF4515"/>
    <w:sectPr w:rsidR="00EF4515" w:rsidSect="00EF45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9C" w:rsidRDefault="006D1D9C" w:rsidP="006D1D9C">
      <w:r>
        <w:separator/>
      </w:r>
    </w:p>
  </w:endnote>
  <w:endnote w:type="continuationSeparator" w:id="1">
    <w:p w:rsidR="006D1D9C" w:rsidRDefault="006D1D9C" w:rsidP="006D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9C" w:rsidRPr="006D1D9C" w:rsidRDefault="006D1D9C" w:rsidP="006D1D9C">
    <w:pPr>
      <w:pStyle w:val="Piedepgina"/>
      <w:jc w:val="right"/>
      <w:rPr>
        <w:lang w:val="es-MX"/>
      </w:rPr>
    </w:pPr>
    <w:r>
      <w:rPr>
        <w:lang w:val="es-MX"/>
      </w:rPr>
      <w:t>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9C" w:rsidRDefault="006D1D9C" w:rsidP="006D1D9C">
      <w:r>
        <w:separator/>
      </w:r>
    </w:p>
  </w:footnote>
  <w:footnote w:type="continuationSeparator" w:id="1">
    <w:p w:rsidR="006D1D9C" w:rsidRDefault="006D1D9C" w:rsidP="006D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9C" w:rsidRDefault="006D1D9C" w:rsidP="006D1D9C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6D1D9C" w:rsidRPr="00544B1E" w:rsidRDefault="006D1D9C" w:rsidP="006D1D9C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6D1D9C" w:rsidRDefault="006D1D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B88"/>
    <w:multiLevelType w:val="hybridMultilevel"/>
    <w:tmpl w:val="0BD0957C"/>
    <w:lvl w:ilvl="0" w:tplc="4FEA237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F75927"/>
    <w:multiLevelType w:val="hybridMultilevel"/>
    <w:tmpl w:val="DD188998"/>
    <w:lvl w:ilvl="0" w:tplc="18BAF3FE">
      <w:start w:val="1"/>
      <w:numFmt w:val="lowerLetter"/>
      <w:lvlText w:val="%1)"/>
      <w:lvlJc w:val="left"/>
      <w:pPr>
        <w:ind w:left="394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114" w:hanging="360"/>
      </w:pPr>
    </w:lvl>
    <w:lvl w:ilvl="2" w:tplc="080A001B" w:tentative="1">
      <w:start w:val="1"/>
      <w:numFmt w:val="lowerRoman"/>
      <w:lvlText w:val="%3."/>
      <w:lvlJc w:val="right"/>
      <w:pPr>
        <w:ind w:left="1834" w:hanging="180"/>
      </w:pPr>
    </w:lvl>
    <w:lvl w:ilvl="3" w:tplc="080A000F" w:tentative="1">
      <w:start w:val="1"/>
      <w:numFmt w:val="decimal"/>
      <w:lvlText w:val="%4."/>
      <w:lvlJc w:val="left"/>
      <w:pPr>
        <w:ind w:left="2554" w:hanging="360"/>
      </w:pPr>
    </w:lvl>
    <w:lvl w:ilvl="4" w:tplc="080A0019" w:tentative="1">
      <w:start w:val="1"/>
      <w:numFmt w:val="lowerLetter"/>
      <w:lvlText w:val="%5."/>
      <w:lvlJc w:val="left"/>
      <w:pPr>
        <w:ind w:left="3274" w:hanging="360"/>
      </w:pPr>
    </w:lvl>
    <w:lvl w:ilvl="5" w:tplc="080A001B" w:tentative="1">
      <w:start w:val="1"/>
      <w:numFmt w:val="lowerRoman"/>
      <w:lvlText w:val="%6."/>
      <w:lvlJc w:val="right"/>
      <w:pPr>
        <w:ind w:left="3994" w:hanging="180"/>
      </w:pPr>
    </w:lvl>
    <w:lvl w:ilvl="6" w:tplc="080A000F" w:tentative="1">
      <w:start w:val="1"/>
      <w:numFmt w:val="decimal"/>
      <w:lvlText w:val="%7."/>
      <w:lvlJc w:val="left"/>
      <w:pPr>
        <w:ind w:left="4714" w:hanging="360"/>
      </w:pPr>
    </w:lvl>
    <w:lvl w:ilvl="7" w:tplc="080A0019" w:tentative="1">
      <w:start w:val="1"/>
      <w:numFmt w:val="lowerLetter"/>
      <w:lvlText w:val="%8."/>
      <w:lvlJc w:val="left"/>
      <w:pPr>
        <w:ind w:left="5434" w:hanging="360"/>
      </w:pPr>
    </w:lvl>
    <w:lvl w:ilvl="8" w:tplc="08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D9C"/>
    <w:rsid w:val="006D1D9C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D9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D1D9C"/>
    <w:pPr>
      <w:jc w:val="both"/>
    </w:pPr>
    <w:rPr>
      <w:rFonts w:ascii="Humanst521 BT" w:eastAsia="Times New Roman" w:hAnsi="Humanst521 BT"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D1D9C"/>
    <w:rPr>
      <w:rFonts w:ascii="Humanst521 BT" w:eastAsia="Times New Roman" w:hAnsi="Humanst521 BT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D1D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1D9C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6D1D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1D9C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2017-11-24T16:42:00Z</dcterms:created>
  <dcterms:modified xsi:type="dcterms:W3CDTF">2017-11-24T16:43:00Z</dcterms:modified>
</cp:coreProperties>
</file>