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BB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 xml:space="preserve">Comisión </w:t>
      </w:r>
      <w:r w:rsidR="00460B84">
        <w:rPr>
          <w:b/>
          <w:sz w:val="24"/>
          <w:szCs w:val="24"/>
        </w:rPr>
        <w:t xml:space="preserve">de </w:t>
      </w:r>
      <w:r w:rsidR="00C50446" w:rsidRPr="00C50446">
        <w:rPr>
          <w:b/>
          <w:sz w:val="24"/>
          <w:szCs w:val="24"/>
        </w:rPr>
        <w:t>Transparencia y Acceso a la Información</w:t>
      </w:r>
    </w:p>
    <w:p w:rsidR="00C50446" w:rsidRPr="00675942" w:rsidRDefault="00C50446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b/>
          <w:sz w:val="24"/>
          <w:szCs w:val="24"/>
        </w:rPr>
        <w:t>Artículo 38.</w:t>
      </w:r>
      <w:r w:rsidRPr="00C50446">
        <w:rPr>
          <w:sz w:val="24"/>
          <w:szCs w:val="24"/>
        </w:rPr>
        <w:t xml:space="preserve"> </w:t>
      </w: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 xml:space="preserve">1. Son atribuciones de la Comisión de Transparencia y Acceso a la Información: 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a) (Se deroga)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derogado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b) (Se deroga)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derogado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c) (Se deroga)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derogado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d) (Se deroga)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derogado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e) Conocer y dictaminar sobre los programas de capacitación del personal del Instituto en materia de transparencia, acceso a la información y protección de datos personales;</w:t>
      </w:r>
      <w:bookmarkStart w:id="0" w:name="_GoBack"/>
      <w:bookmarkEnd w:id="0"/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adicionado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f) Conocer y dictaminar sobre la información susceptible de ser considerada de interés público o, en su caso, transparencia proactiva, en términos de la normatividad aplicable;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adicionado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g) Vigilar y supervisar que los órganos del Instituto en materia de transparencia cumplan con las funciones encomendadas en la normatividad aplicable;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adicionado 03/09/2018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h) Conocer y presentar al Consejo General el informe anual que elabore la Unidad de Transparencia sobre las acciones realizadas en la materia por el sujeto obligado, en términos de la normatividad aplicable, y</w:t>
      </w:r>
    </w:p>
    <w:p w:rsidR="00EA17B1" w:rsidRPr="00EA17B1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Inciso adicionado 03/09/2018</w:t>
      </w:r>
    </w:p>
    <w:p w:rsidR="006C2102" w:rsidRPr="00C50446" w:rsidRDefault="00EA17B1" w:rsidP="00EA17B1">
      <w:pPr>
        <w:jc w:val="both"/>
        <w:rPr>
          <w:sz w:val="24"/>
          <w:szCs w:val="24"/>
        </w:rPr>
      </w:pPr>
      <w:r w:rsidRPr="00EA17B1">
        <w:rPr>
          <w:sz w:val="24"/>
          <w:szCs w:val="24"/>
        </w:rPr>
        <w:t>i) Las demás que le sean conferidas por el Consejo General, la Ley Electoral y demás disposiciones aplicables.</w:t>
      </w:r>
    </w:p>
    <w:sectPr w:rsidR="006C2102" w:rsidRPr="00C50446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51"/>
    <w:rsid w:val="00093E51"/>
    <w:rsid w:val="001C149A"/>
    <w:rsid w:val="002E1585"/>
    <w:rsid w:val="00460B84"/>
    <w:rsid w:val="00675942"/>
    <w:rsid w:val="006B1B2B"/>
    <w:rsid w:val="006C2102"/>
    <w:rsid w:val="00907AC1"/>
    <w:rsid w:val="00920F21"/>
    <w:rsid w:val="00AB7EFB"/>
    <w:rsid w:val="00B23924"/>
    <w:rsid w:val="00C50446"/>
    <w:rsid w:val="00D2392E"/>
    <w:rsid w:val="00EA17B1"/>
    <w:rsid w:val="00E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3198-73B7-4347-A7E2-35FE9BA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Carranco</cp:lastModifiedBy>
  <cp:revision>4</cp:revision>
  <dcterms:created xsi:type="dcterms:W3CDTF">2017-07-18T20:32:00Z</dcterms:created>
  <dcterms:modified xsi:type="dcterms:W3CDTF">2018-10-30T00:06:00Z</dcterms:modified>
</cp:coreProperties>
</file>