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51" w:rsidRDefault="00B23924">
      <w:pPr>
        <w:rPr>
          <w:b/>
          <w:sz w:val="24"/>
          <w:szCs w:val="24"/>
        </w:rPr>
      </w:pPr>
      <w:r w:rsidRPr="00B23924">
        <w:rPr>
          <w:b/>
          <w:sz w:val="24"/>
          <w:szCs w:val="24"/>
        </w:rPr>
        <w:t>Comisión de Reglamentos y Asuntos Jurídicos</w:t>
      </w:r>
    </w:p>
    <w:p w:rsidR="00B23924" w:rsidRPr="00093E51" w:rsidRDefault="00B23924">
      <w:pPr>
        <w:rPr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b/>
          <w:sz w:val="24"/>
          <w:szCs w:val="24"/>
        </w:rPr>
        <w:t>Artículo 30.</w:t>
      </w:r>
      <w:r w:rsidRPr="00B23924">
        <w:rPr>
          <w:sz w:val="24"/>
          <w:szCs w:val="24"/>
        </w:rPr>
        <w:t xml:space="preserve"> 1. Son atribuciones de la Comisión de Reglamentos y Asuntos Jurídicos: </w:t>
      </w: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sz w:val="24"/>
          <w:szCs w:val="24"/>
        </w:rPr>
        <w:t xml:space="preserve">a) Conocer y dictaminar los proyectos de reglamentos del Instituto, así como proponer sus reformas y adiciones; </w:t>
      </w: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sz w:val="24"/>
          <w:szCs w:val="24"/>
        </w:rPr>
        <w:t xml:space="preserve">b) Conocer y dictaminar los estudios y anteproyectos de reformas y adiciones a la legislación electoral; </w:t>
      </w: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sz w:val="24"/>
          <w:szCs w:val="24"/>
        </w:rPr>
        <w:t xml:space="preserve">c) Conocer y dictaminar los requisitos de elegibilidad de los aspirantes a ocupar cargos de designación por el Consejo General; </w:t>
      </w: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sz w:val="24"/>
          <w:szCs w:val="24"/>
        </w:rPr>
        <w:t xml:space="preserve">d) Conocer y dictaminar lo relativo al proceso de selección de ciudadanos para ocupar el cargo de consejero electoral distrital; </w:t>
      </w: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sz w:val="24"/>
          <w:szCs w:val="24"/>
        </w:rPr>
        <w:t xml:space="preserve">e) Conocer y dictaminar los proyectos de toda clase de convocatorias públicas que deba expedir el Instituto, y </w:t>
      </w:r>
    </w:p>
    <w:p w:rsidR="006C2102" w:rsidRPr="00B23924" w:rsidRDefault="00B23924" w:rsidP="00B23924">
      <w:pPr>
        <w:jc w:val="both"/>
        <w:rPr>
          <w:sz w:val="24"/>
          <w:szCs w:val="24"/>
        </w:rPr>
      </w:pPr>
      <w:r w:rsidRPr="00B23924">
        <w:rPr>
          <w:sz w:val="24"/>
          <w:szCs w:val="24"/>
        </w:rPr>
        <w:t>f) Las demás que le sean conferidas por el Consejo General, la Ley Electoral y demás disposiciones aplicables</w:t>
      </w:r>
    </w:p>
    <w:sectPr w:rsidR="006C2102" w:rsidRPr="00B23924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6C2102"/>
    <w:rsid w:val="00907AC1"/>
    <w:rsid w:val="00AB7EFB"/>
    <w:rsid w:val="00B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2017-07-18T20:00:00Z</dcterms:created>
  <dcterms:modified xsi:type="dcterms:W3CDTF">2017-07-18T20:00:00Z</dcterms:modified>
</cp:coreProperties>
</file>