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5A23" w14:textId="77777777" w:rsidR="00A179E8" w:rsidRPr="00CD7254" w:rsidRDefault="00A179E8" w:rsidP="00CD7254">
      <w:pPr>
        <w:pStyle w:val="Default"/>
        <w:jc w:val="center"/>
        <w:rPr>
          <w:rFonts w:ascii="Arial" w:hAnsi="Arial" w:cs="Arial"/>
          <w:b/>
          <w:bCs/>
        </w:rPr>
      </w:pPr>
      <w:r w:rsidRPr="00CD7254">
        <w:rPr>
          <w:rFonts w:ascii="Arial" w:hAnsi="Arial" w:cs="Arial"/>
          <w:b/>
          <w:bCs/>
        </w:rPr>
        <w:t>Secretaría Ejecutiva</w:t>
      </w:r>
    </w:p>
    <w:p w14:paraId="27BCEEBF" w14:textId="490FF200" w:rsidR="00A179E8" w:rsidRDefault="00A179E8" w:rsidP="00CD7254">
      <w:pPr>
        <w:pStyle w:val="Default"/>
        <w:jc w:val="both"/>
        <w:rPr>
          <w:rFonts w:ascii="Arial" w:hAnsi="Arial" w:cs="Arial"/>
          <w:b/>
          <w:bCs/>
        </w:rPr>
      </w:pPr>
    </w:p>
    <w:p w14:paraId="03C3C6D7" w14:textId="77777777" w:rsidR="00DD08D8" w:rsidRPr="00CD7254" w:rsidRDefault="00DD08D8" w:rsidP="00CD7254">
      <w:pPr>
        <w:pStyle w:val="Default"/>
        <w:jc w:val="both"/>
        <w:rPr>
          <w:rFonts w:ascii="Arial" w:hAnsi="Arial" w:cs="Arial"/>
          <w:b/>
          <w:bCs/>
        </w:rPr>
      </w:pPr>
    </w:p>
    <w:p w14:paraId="161FDCF2" w14:textId="77777777" w:rsidR="00A179E8" w:rsidRPr="00CD7254" w:rsidRDefault="00A179E8" w:rsidP="00CD7254">
      <w:pPr>
        <w:pStyle w:val="Default"/>
        <w:jc w:val="both"/>
        <w:rPr>
          <w:rFonts w:ascii="Arial" w:hAnsi="Arial" w:cs="Arial"/>
          <w:b/>
          <w:bCs/>
        </w:rPr>
      </w:pPr>
      <w:r w:rsidRPr="00CD7254">
        <w:rPr>
          <w:rFonts w:ascii="Arial" w:hAnsi="Arial" w:cs="Arial"/>
          <w:b/>
          <w:bCs/>
        </w:rPr>
        <w:t>Ley Electoral del Estado de Baja California</w:t>
      </w:r>
    </w:p>
    <w:p w14:paraId="5F6BF54C" w14:textId="77777777" w:rsidR="00A179E8" w:rsidRPr="00CD7254" w:rsidRDefault="00A179E8" w:rsidP="00CD7254">
      <w:pPr>
        <w:pStyle w:val="Default"/>
        <w:jc w:val="both"/>
        <w:rPr>
          <w:rFonts w:ascii="Arial" w:hAnsi="Arial" w:cs="Arial"/>
          <w:b/>
          <w:bCs/>
        </w:rPr>
      </w:pPr>
    </w:p>
    <w:p w14:paraId="4BAE4617" w14:textId="77777777" w:rsidR="00B733C4" w:rsidRPr="00CD7254" w:rsidRDefault="00B733C4" w:rsidP="00CD7254">
      <w:pPr>
        <w:pStyle w:val="Default"/>
        <w:jc w:val="both"/>
        <w:rPr>
          <w:rFonts w:ascii="Arial" w:hAnsi="Arial" w:cs="Arial"/>
        </w:rPr>
      </w:pPr>
      <w:r w:rsidRPr="00CD7254">
        <w:rPr>
          <w:rFonts w:ascii="Arial" w:hAnsi="Arial" w:cs="Arial"/>
          <w:b/>
          <w:bCs/>
        </w:rPr>
        <w:t xml:space="preserve">Artículo 55.- </w:t>
      </w:r>
      <w:r w:rsidRPr="00CD7254">
        <w:rPr>
          <w:rFonts w:ascii="Arial" w:hAnsi="Arial" w:cs="Arial"/>
        </w:rPr>
        <w:t xml:space="preserve">Son atribuciones del </w:t>
      </w:r>
      <w:proofErr w:type="gramStart"/>
      <w:r w:rsidRPr="00CD7254">
        <w:rPr>
          <w:rFonts w:ascii="Arial" w:hAnsi="Arial" w:cs="Arial"/>
        </w:rPr>
        <w:t>Secretario Ejecutivo</w:t>
      </w:r>
      <w:proofErr w:type="gramEnd"/>
      <w:r w:rsidRPr="00CD7254">
        <w:rPr>
          <w:rFonts w:ascii="Arial" w:hAnsi="Arial" w:cs="Arial"/>
        </w:rPr>
        <w:t xml:space="preserve">: </w:t>
      </w:r>
    </w:p>
    <w:p w14:paraId="77C3C641" w14:textId="77777777" w:rsidR="00A179E8" w:rsidRPr="00CD7254" w:rsidRDefault="00A179E8" w:rsidP="00CD7254">
      <w:pPr>
        <w:pStyle w:val="Default"/>
        <w:jc w:val="both"/>
        <w:rPr>
          <w:rFonts w:ascii="Arial" w:hAnsi="Arial" w:cs="Arial"/>
        </w:rPr>
      </w:pPr>
    </w:p>
    <w:p w14:paraId="2C99AD04" w14:textId="77777777" w:rsidR="00B733C4" w:rsidRPr="00CD7254" w:rsidRDefault="00B733C4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I. Representar legalmente al Instituto Electoral, y otorgar previa autorización del Consejo General poderes a nombre de éste para actos de administración y para ser representado ante cualquier autoridad administrativa, judicial o ante particulares; </w:t>
      </w:r>
    </w:p>
    <w:p w14:paraId="1E8F409B" w14:textId="77777777" w:rsidR="00B733C4" w:rsidRPr="00CD7254" w:rsidRDefault="00B733C4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II. Actuar como </w:t>
      </w:r>
      <w:proofErr w:type="gramStart"/>
      <w:r w:rsidRPr="00CD7254">
        <w:rPr>
          <w:rFonts w:ascii="Arial" w:hAnsi="Arial" w:cs="Arial"/>
        </w:rPr>
        <w:t>Secretario</w:t>
      </w:r>
      <w:proofErr w:type="gramEnd"/>
      <w:r w:rsidRPr="00CD7254">
        <w:rPr>
          <w:rFonts w:ascii="Arial" w:hAnsi="Arial" w:cs="Arial"/>
        </w:rPr>
        <w:t xml:space="preserve"> del Consejo General; </w:t>
      </w:r>
    </w:p>
    <w:p w14:paraId="78AE3F17" w14:textId="77777777" w:rsidR="00B733C4" w:rsidRPr="00CD7254" w:rsidRDefault="00B733C4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III. Cumplir y hacer cumplir, en los asuntos de su competencia, los acuerdos del Consejo General; </w:t>
      </w:r>
    </w:p>
    <w:p w14:paraId="4FB74BD1" w14:textId="77777777" w:rsidR="00B733C4" w:rsidRPr="00CD7254" w:rsidRDefault="00B733C4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IV. Informar oportunamente al Consejo General, las vacantes que se originen entre los consejeros electorales de los Consejos Distritales, para los efectos de sus correspondientes sustituciones; </w:t>
      </w:r>
    </w:p>
    <w:p w14:paraId="45E47182" w14:textId="77777777" w:rsidR="00B733C4" w:rsidRPr="00CD7254" w:rsidRDefault="00B733C4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V. Someter al conocimiento y, en su caso, a la aprobación del Consejo General los asuntos de su competencia; </w:t>
      </w:r>
    </w:p>
    <w:p w14:paraId="67E3673C" w14:textId="77777777" w:rsidR="00B733C4" w:rsidRPr="00CD7254" w:rsidRDefault="00B733C4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VI. Ejercer y atender oportunamente la función de oficialía electoral por sí, o por conducto de los </w:t>
      </w:r>
      <w:proofErr w:type="gramStart"/>
      <w:r w:rsidRPr="00CD7254">
        <w:rPr>
          <w:rFonts w:ascii="Arial" w:hAnsi="Arial" w:cs="Arial"/>
        </w:rPr>
        <w:t>Secretarios</w:t>
      </w:r>
      <w:proofErr w:type="gramEnd"/>
      <w:r w:rsidRPr="00CD7254">
        <w:rPr>
          <w:rFonts w:ascii="Arial" w:hAnsi="Arial" w:cs="Arial"/>
        </w:rPr>
        <w:t xml:space="preserve"> Fedatarios de los Consejos Distritales, u otros servidores públicos del Instituto en los que delegue dicha función respecto de actos o hechos exclusivamente de naturaleza electoral. El </w:t>
      </w:r>
      <w:proofErr w:type="gramStart"/>
      <w:r w:rsidRPr="00CD7254">
        <w:rPr>
          <w:rFonts w:ascii="Arial" w:hAnsi="Arial" w:cs="Arial"/>
        </w:rPr>
        <w:t>Secretario Ejecutivo</w:t>
      </w:r>
      <w:proofErr w:type="gramEnd"/>
      <w:r w:rsidRPr="00CD7254">
        <w:rPr>
          <w:rFonts w:ascii="Arial" w:hAnsi="Arial" w:cs="Arial"/>
        </w:rPr>
        <w:t xml:space="preserve"> podrá delegar la atribución en servidores públicos a su cargo; </w:t>
      </w:r>
    </w:p>
    <w:p w14:paraId="19FC4EED" w14:textId="77777777" w:rsidR="00B733C4" w:rsidRPr="00CD7254" w:rsidRDefault="00B733C4" w:rsidP="00CD7254">
      <w:pPr>
        <w:pStyle w:val="Default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VII. Designar o remover al Coordinador de Partidos Políticos y Financiamiento, Coordinador Jurídico, Coordinador de Informática y Estadística Electoral, y al Notificador de la </w:t>
      </w:r>
      <w:r w:rsidR="00A179E8" w:rsidRPr="00CD7254">
        <w:rPr>
          <w:rFonts w:ascii="Arial" w:hAnsi="Arial" w:cs="Arial"/>
        </w:rPr>
        <w:t>Secretaría</w:t>
      </w:r>
      <w:r w:rsidRPr="00CD7254">
        <w:rPr>
          <w:rFonts w:ascii="Arial" w:hAnsi="Arial" w:cs="Arial"/>
        </w:rPr>
        <w:t xml:space="preserve"> Ejecutiva. </w:t>
      </w:r>
    </w:p>
    <w:p w14:paraId="7F6CA3AC" w14:textId="77777777" w:rsidR="0020325B" w:rsidRPr="00CD7254" w:rsidRDefault="0020325B" w:rsidP="00CD7254">
      <w:pPr>
        <w:pStyle w:val="Default"/>
        <w:jc w:val="both"/>
        <w:rPr>
          <w:rFonts w:ascii="Arial" w:hAnsi="Arial" w:cs="Arial"/>
        </w:rPr>
      </w:pPr>
    </w:p>
    <w:p w14:paraId="05D00BED" w14:textId="77777777" w:rsidR="0020325B" w:rsidRPr="00CD7254" w:rsidRDefault="0020325B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VIII. Orientar y coordinar las acciones de los Departamentos de la Junta General Ejecutiva, Coordinaciones y Unidades Técnicas a su cargo; así como presentar ante el Consejo General, todos aquellos asuntos de las mismas, que requieran de su aprobación; </w:t>
      </w:r>
    </w:p>
    <w:p w14:paraId="1966421D" w14:textId="77777777" w:rsidR="0020325B" w:rsidRPr="00CD7254" w:rsidRDefault="0020325B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IX. Coadyuvar con la Comisión de Control Interno y el Departamento respectivo, en los procedimientos para la determinación de responsabilidades e imposición de sanciones a los servidores públicos del Instituto; </w:t>
      </w:r>
    </w:p>
    <w:p w14:paraId="03032329" w14:textId="77777777" w:rsidR="0020325B" w:rsidRPr="00CD7254" w:rsidRDefault="0020325B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X. Aprobar las estructuras de los Departamentos, Coordinaciones y Unidades Técnicas del Instituto, conforme a las necesidades del servicio y los recursos presupuestales autorizados; </w:t>
      </w:r>
    </w:p>
    <w:p w14:paraId="2A68A075" w14:textId="77777777" w:rsidR="0020325B" w:rsidRPr="00CD7254" w:rsidRDefault="0020325B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XI. Proveer a los órganos del Instituto de los elementos necesarios para el cumplimiento de sus funciones; </w:t>
      </w:r>
    </w:p>
    <w:p w14:paraId="0AE063B4" w14:textId="77777777" w:rsidR="0020325B" w:rsidRPr="00CD7254" w:rsidRDefault="0020325B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XII. Actuar como secretario de la Junta General Ejecutiva y preparar el orden del día de sus sesiones; </w:t>
      </w:r>
    </w:p>
    <w:p w14:paraId="5D5DA789" w14:textId="77777777" w:rsidR="0020325B" w:rsidRPr="00CD7254" w:rsidRDefault="0020325B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XIII. Administrar los bienes muebles e inmuebles, inversiones y rendimientos financieros, y ejercer el presupuesto del Instituto Electoral; </w:t>
      </w:r>
    </w:p>
    <w:p w14:paraId="6CF126FB" w14:textId="77777777" w:rsidR="0020325B" w:rsidRPr="00CD7254" w:rsidRDefault="0020325B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XIV. Proporcionar la información presupuestal, contable y financiera, que para los efectos de revisión de la Cuenta Pública lo requiera el Congreso del Estado; </w:t>
      </w:r>
    </w:p>
    <w:p w14:paraId="7A7160D1" w14:textId="77777777" w:rsidR="0020325B" w:rsidRPr="00CD7254" w:rsidRDefault="0020325B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XV. Presentar al Consejo General, un informe anual por escrito del ejercicio presupuestal de la Dirección a su cargo, así como informe anual de actividades durante los primeros diez días del mes de noviembre; </w:t>
      </w:r>
    </w:p>
    <w:p w14:paraId="6A9C3905" w14:textId="77777777" w:rsidR="0020325B" w:rsidRPr="00CD7254" w:rsidRDefault="0020325B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lastRenderedPageBreak/>
        <w:t xml:space="preserve">XVI. Integrar y publicar la memoria del proceso electoral conteniendo la estadística electoral por Estado, Municipio, Distrito y Sección, una vez concluido el proceso electoral; </w:t>
      </w:r>
    </w:p>
    <w:p w14:paraId="064461D7" w14:textId="77777777" w:rsidR="0020325B" w:rsidRPr="00CD7254" w:rsidRDefault="0020325B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XVII. Recabar, para efectos de información y estadísticas electorales, copias de los expedientes de todas las elecciones; </w:t>
      </w:r>
    </w:p>
    <w:p w14:paraId="086A3399" w14:textId="77777777" w:rsidR="0020325B" w:rsidRPr="00CD7254" w:rsidRDefault="0020325B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XVIII. Administrar el Padrón Electoral y los Listados Nominales que le sean proporcionados por el Instituto Nacional; </w:t>
      </w:r>
    </w:p>
    <w:p w14:paraId="6D4A3ACA" w14:textId="77777777" w:rsidR="0020325B" w:rsidRPr="00CD7254" w:rsidRDefault="0020325B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XIX. Elaborar el anteproyecto de presupuesto de egresos del Instituto Electoral, atendiendo, en su caso, los programas que fije el </w:t>
      </w:r>
      <w:proofErr w:type="gramStart"/>
      <w:r w:rsidRPr="00CD7254">
        <w:rPr>
          <w:rFonts w:ascii="Arial" w:hAnsi="Arial" w:cs="Arial"/>
        </w:rPr>
        <w:t>Consejero Presidente</w:t>
      </w:r>
      <w:proofErr w:type="gramEnd"/>
      <w:r w:rsidRPr="00CD7254">
        <w:rPr>
          <w:rFonts w:ascii="Arial" w:hAnsi="Arial" w:cs="Arial"/>
        </w:rPr>
        <w:t xml:space="preserve"> del Consejo General; </w:t>
      </w:r>
    </w:p>
    <w:p w14:paraId="53BE38CA" w14:textId="77777777" w:rsidR="0020325B" w:rsidRPr="00CD7254" w:rsidRDefault="0020325B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XX. Preparar el anteproyecto de presupuesto para la realización de elecciones extraordinarias, plebiscito, referéndum y consulta popular y someterlo a la aprobación del Consejo General; </w:t>
      </w:r>
    </w:p>
    <w:p w14:paraId="43957C51" w14:textId="77777777" w:rsidR="0020325B" w:rsidRPr="00CD7254" w:rsidRDefault="0020325B" w:rsidP="00CD7254">
      <w:pPr>
        <w:pStyle w:val="Default"/>
        <w:spacing w:after="147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XXI. Elaborar manuales de organización de los Departamentos, Coordinaciones y Unidades Técnicas del Instituto; </w:t>
      </w:r>
    </w:p>
    <w:p w14:paraId="58CF0E95" w14:textId="77777777" w:rsidR="0020325B" w:rsidRPr="00CD7254" w:rsidRDefault="0020325B" w:rsidP="00CD7254">
      <w:pPr>
        <w:pStyle w:val="Default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XXII. Elaborar los proyectos de reglamento interno de la Secretaría Ejecutiva y de los Consejos Distritales Electorales, para someterlos a consideración del Consejo General, y </w:t>
      </w:r>
    </w:p>
    <w:p w14:paraId="1A6F5E32" w14:textId="77777777" w:rsidR="0020325B" w:rsidRPr="00CD7254" w:rsidRDefault="0020325B" w:rsidP="00CD7254">
      <w:pPr>
        <w:pStyle w:val="Default"/>
        <w:jc w:val="both"/>
        <w:rPr>
          <w:rFonts w:ascii="Arial" w:hAnsi="Arial" w:cs="Arial"/>
        </w:rPr>
      </w:pPr>
    </w:p>
    <w:p w14:paraId="3D7D6581" w14:textId="77777777" w:rsidR="0020325B" w:rsidRPr="00CD7254" w:rsidRDefault="0020325B" w:rsidP="00CD7254">
      <w:pPr>
        <w:pStyle w:val="Default"/>
        <w:jc w:val="both"/>
        <w:rPr>
          <w:rFonts w:ascii="Arial" w:hAnsi="Arial" w:cs="Arial"/>
        </w:rPr>
      </w:pPr>
      <w:r w:rsidRPr="00CD7254">
        <w:rPr>
          <w:rFonts w:ascii="Arial" w:hAnsi="Arial" w:cs="Arial"/>
        </w:rPr>
        <w:t xml:space="preserve">XXIII. Las demás que le encomienden el Consejo General, su </w:t>
      </w:r>
      <w:proofErr w:type="gramStart"/>
      <w:r w:rsidRPr="00CD7254">
        <w:rPr>
          <w:rFonts w:ascii="Arial" w:hAnsi="Arial" w:cs="Arial"/>
        </w:rPr>
        <w:t>Presidente</w:t>
      </w:r>
      <w:proofErr w:type="gramEnd"/>
      <w:r w:rsidRPr="00CD7254">
        <w:rPr>
          <w:rFonts w:ascii="Arial" w:hAnsi="Arial" w:cs="Arial"/>
        </w:rPr>
        <w:t xml:space="preserve">, y esta Ley. </w:t>
      </w:r>
    </w:p>
    <w:p w14:paraId="0EABC854" w14:textId="77777777" w:rsidR="00EF1ACE" w:rsidRPr="0020325B" w:rsidRDefault="00EF1ACE" w:rsidP="0020325B">
      <w:pPr>
        <w:jc w:val="both"/>
        <w:rPr>
          <w:rFonts w:ascii="Arial" w:hAnsi="Arial" w:cs="Arial"/>
          <w:sz w:val="24"/>
          <w:szCs w:val="24"/>
        </w:rPr>
      </w:pPr>
    </w:p>
    <w:sectPr w:rsidR="00EF1ACE" w:rsidRPr="0020325B" w:rsidSect="009B4DB8">
      <w:pgSz w:w="12240" w:h="16340"/>
      <w:pgMar w:top="1239" w:right="855" w:bottom="518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C4"/>
    <w:rsid w:val="0020325B"/>
    <w:rsid w:val="0067451C"/>
    <w:rsid w:val="00A179E8"/>
    <w:rsid w:val="00B733C4"/>
    <w:rsid w:val="00CD7254"/>
    <w:rsid w:val="00D36FC7"/>
    <w:rsid w:val="00DD08D8"/>
    <w:rsid w:val="00EF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0751"/>
  <w15:docId w15:val="{FE7AC29C-FD2B-4A6F-9A8A-44E9437F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Curso1</dc:creator>
  <cp:keywords/>
  <dc:description/>
  <cp:lastModifiedBy>Ana I. León</cp:lastModifiedBy>
  <cp:revision>2</cp:revision>
  <dcterms:created xsi:type="dcterms:W3CDTF">2022-07-22T06:52:00Z</dcterms:created>
  <dcterms:modified xsi:type="dcterms:W3CDTF">2022-07-22T06:52:00Z</dcterms:modified>
</cp:coreProperties>
</file>