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B" w:rsidRDefault="00675942">
      <w:pPr>
        <w:rPr>
          <w:b/>
          <w:sz w:val="24"/>
          <w:szCs w:val="24"/>
        </w:rPr>
      </w:pPr>
      <w:r w:rsidRPr="00675942">
        <w:rPr>
          <w:b/>
          <w:sz w:val="24"/>
          <w:szCs w:val="24"/>
        </w:rPr>
        <w:t xml:space="preserve">Comisión </w:t>
      </w:r>
      <w:r w:rsidR="00460B84">
        <w:rPr>
          <w:b/>
          <w:sz w:val="24"/>
          <w:szCs w:val="24"/>
        </w:rPr>
        <w:t xml:space="preserve">Especial de </w:t>
      </w:r>
      <w:r w:rsidR="00C50446" w:rsidRPr="00C50446">
        <w:rPr>
          <w:b/>
          <w:sz w:val="24"/>
          <w:szCs w:val="24"/>
        </w:rPr>
        <w:t>Transparencia y Acceso a la Información</w:t>
      </w:r>
    </w:p>
    <w:p w:rsidR="00C50446" w:rsidRPr="00675942" w:rsidRDefault="00C50446">
      <w:pPr>
        <w:rPr>
          <w:b/>
          <w:sz w:val="24"/>
          <w:szCs w:val="24"/>
        </w:rPr>
      </w:pPr>
    </w:p>
    <w:p w:rsidR="00093E51" w:rsidRPr="00093E51" w:rsidRDefault="00093E51" w:rsidP="00093E51">
      <w:pPr>
        <w:jc w:val="left"/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Reglamento Interior del Instituto Estatal Electoral de Baja California</w:t>
      </w:r>
    </w:p>
    <w:p w:rsidR="00093E51" w:rsidRPr="00093E51" w:rsidRDefault="00093E51">
      <w:pPr>
        <w:rPr>
          <w:sz w:val="24"/>
          <w:szCs w:val="24"/>
        </w:rPr>
      </w:pPr>
    </w:p>
    <w:p w:rsidR="00C50446" w:rsidRDefault="00C50446" w:rsidP="00C50446">
      <w:pPr>
        <w:jc w:val="both"/>
        <w:rPr>
          <w:sz w:val="24"/>
          <w:szCs w:val="24"/>
        </w:rPr>
      </w:pPr>
      <w:r w:rsidRPr="00C50446">
        <w:rPr>
          <w:b/>
          <w:sz w:val="24"/>
          <w:szCs w:val="24"/>
        </w:rPr>
        <w:t>Artículo 38.</w:t>
      </w:r>
      <w:r w:rsidRPr="00C50446">
        <w:rPr>
          <w:sz w:val="24"/>
          <w:szCs w:val="24"/>
        </w:rPr>
        <w:t xml:space="preserve"> </w:t>
      </w:r>
    </w:p>
    <w:p w:rsidR="00C50446" w:rsidRDefault="00C50446" w:rsidP="00C50446">
      <w:pPr>
        <w:jc w:val="both"/>
        <w:rPr>
          <w:sz w:val="24"/>
          <w:szCs w:val="24"/>
        </w:rPr>
      </w:pPr>
      <w:r w:rsidRPr="00C50446">
        <w:rPr>
          <w:sz w:val="24"/>
          <w:szCs w:val="24"/>
        </w:rPr>
        <w:t xml:space="preserve">1. Son atribuciones de la Comisión de Transparencia y Acceso a la Información: </w:t>
      </w:r>
    </w:p>
    <w:p w:rsidR="00C50446" w:rsidRDefault="00C50446" w:rsidP="00C50446">
      <w:pPr>
        <w:jc w:val="both"/>
        <w:rPr>
          <w:sz w:val="24"/>
          <w:szCs w:val="24"/>
        </w:rPr>
      </w:pPr>
      <w:r w:rsidRPr="00C50446">
        <w:rPr>
          <w:sz w:val="24"/>
          <w:szCs w:val="24"/>
        </w:rPr>
        <w:t xml:space="preserve">a) Vigilar, por conducto de la Unidad de Transparencia, que se ponga oportunamente a disposición de la ciudadanía la información del Instituto, así como su actualización; </w:t>
      </w:r>
    </w:p>
    <w:p w:rsidR="00C50446" w:rsidRDefault="00C50446" w:rsidP="00C50446">
      <w:pPr>
        <w:jc w:val="both"/>
        <w:rPr>
          <w:sz w:val="24"/>
          <w:szCs w:val="24"/>
        </w:rPr>
      </w:pPr>
      <w:r w:rsidRPr="00C50446">
        <w:rPr>
          <w:sz w:val="24"/>
          <w:szCs w:val="24"/>
        </w:rPr>
        <w:t xml:space="preserve">b) Someter a consideración del Consejo General la adopción de medidas para la oportuna ejecución de actividades de la Unidad de Transparencia; </w:t>
      </w:r>
    </w:p>
    <w:p w:rsidR="00C50446" w:rsidRDefault="00C50446" w:rsidP="00C50446">
      <w:pPr>
        <w:jc w:val="both"/>
        <w:rPr>
          <w:sz w:val="24"/>
          <w:szCs w:val="24"/>
        </w:rPr>
      </w:pPr>
      <w:r w:rsidRPr="00C50446">
        <w:rPr>
          <w:sz w:val="24"/>
          <w:szCs w:val="24"/>
        </w:rPr>
        <w:t xml:space="preserve">c) Conocer y dictaminar el informe anual de actividades de la Unidad de Transparencia; </w:t>
      </w:r>
    </w:p>
    <w:p w:rsidR="00C50446" w:rsidRDefault="00C50446" w:rsidP="00C50446">
      <w:pPr>
        <w:jc w:val="both"/>
        <w:rPr>
          <w:sz w:val="24"/>
          <w:szCs w:val="24"/>
        </w:rPr>
      </w:pPr>
      <w:r w:rsidRPr="00C50446">
        <w:rPr>
          <w:sz w:val="24"/>
          <w:szCs w:val="24"/>
        </w:rPr>
        <w:t xml:space="preserve">d) Conocer y dictaminar los lineamientos de transparencia, acceso a la información y protección de datos personales, y </w:t>
      </w:r>
    </w:p>
    <w:p w:rsidR="006C2102" w:rsidRPr="00C50446" w:rsidRDefault="00C50446" w:rsidP="00C50446">
      <w:pPr>
        <w:jc w:val="both"/>
        <w:rPr>
          <w:sz w:val="24"/>
          <w:szCs w:val="24"/>
        </w:rPr>
      </w:pPr>
      <w:r w:rsidRPr="00C50446">
        <w:rPr>
          <w:sz w:val="24"/>
          <w:szCs w:val="24"/>
        </w:rPr>
        <w:t>e) Las demás que le sean conferidas por el Consejo General, la Ley Electoral y demás disposiciones aplicables.</w:t>
      </w:r>
    </w:p>
    <w:sectPr w:rsidR="006C2102" w:rsidRPr="00C50446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93E51"/>
    <w:rsid w:val="00093E51"/>
    <w:rsid w:val="001C149A"/>
    <w:rsid w:val="002E1585"/>
    <w:rsid w:val="00460B84"/>
    <w:rsid w:val="00675942"/>
    <w:rsid w:val="006B1B2B"/>
    <w:rsid w:val="006C2102"/>
    <w:rsid w:val="00907AC1"/>
    <w:rsid w:val="00920F21"/>
    <w:rsid w:val="00AB7EFB"/>
    <w:rsid w:val="00B23924"/>
    <w:rsid w:val="00C50446"/>
    <w:rsid w:val="00EC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2017-07-18T20:32:00Z</dcterms:created>
  <dcterms:modified xsi:type="dcterms:W3CDTF">2017-07-18T20:32:00Z</dcterms:modified>
</cp:coreProperties>
</file>