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>Reglamento Interior del Instituto Estatal Electoral.</w:t>
      </w:r>
    </w:p>
    <w:p w:rsidR="00FD141A" w:rsidRDefault="00FD141A">
      <w:pPr>
        <w:rPr>
          <w:rFonts w:ascii="Century Gothic" w:hAnsi="Century Gothic"/>
          <w:b/>
        </w:rPr>
      </w:pPr>
    </w:p>
    <w:p w:rsidR="00FD141A" w:rsidRDefault="00FD141A" w:rsidP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 xml:space="preserve">Artículo </w:t>
      </w:r>
      <w:r w:rsidR="00110B18">
        <w:rPr>
          <w:rFonts w:ascii="Century Gothic" w:hAnsi="Century Gothic"/>
          <w:b/>
        </w:rPr>
        <w:t>64</w:t>
      </w:r>
      <w:r w:rsidRPr="00FD141A">
        <w:rPr>
          <w:rFonts w:ascii="Century Gothic" w:hAnsi="Century Gothic"/>
          <w:b/>
        </w:rPr>
        <w:t xml:space="preserve"> BIS.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1. Para su apropiado funcionamiento la Unidad de Igualdad, tendrá las siguientes funciones: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a) Fungir como Secretaría Técnica de la Comisión de Igualdad Sustantiva y No Discriminación, coordinando y supervisando la elaboración de estudios, dictámenes, puntos de acuerdo, informes u opiniones;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b) Brindar apoyo especializado, asesoría y capacitación a las áreas y órganos del Instituto en materia de igualdad sustantiva, perspectiva de género y no discriminación a grupos en situación de vulnerabilidad, así como prevención y erradicación de la violencia política contra las mujeres en razón de género;</w:t>
      </w:r>
    </w:p>
    <w:p w:rsid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c) Coadyuvar con la Comisión de Reglamentos y Asuntos Jurídicos, y demás órganos del Instituto en la elaboración de proyectos de reglamentos interiores, programas, políticas internas u otros dispositivos jurídicos en materia de igualdad sustantiva, perspectiva de género y no discriminación a grupos en situación de vulnerabilidad, así como de prevención y erradicación de la violencia política contra las mujeres en razón de género;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d) Proponer a la Secretaría Ejecutiva las medidas conducentes para institucionalizar y transversalizar la igualdad sustantiva, perspectiva de género y no discriminación a grupos en situación de vulnerabilidad, y la prevención y erradicación de la violencia política contra las mujeres en razón de género en los programas y proyectos de las distintas áreas del Instituto;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e) Proponer los vínculos interinstitucionales, a fin de difundir acciones y actividades en materia de igualdad sustantiva, perspectiva de género y no discriminación a grupos en situación de vulnerabilidad, así como de prevención y erradicación de la violencia política contra las mujeres en razón de género;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f) Proponer a la Secretaría Ejecutiva y, en su caso, a la Comisión de Igualdad Sustantiva y No Discriminación, las políticas y estrategias de trabajo para que se incorporen a la planeación institucional, así como al proyecto de presupuesto correspondiente;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g) Coadyuvar con el Departamento de Procesos Electorales en el diseño e instrumentación de los programas de educación cívica e información para la prevención, atención y erradicación de la violencia política contra las mujeres en razón de género;</w:t>
      </w:r>
    </w:p>
    <w:p w:rsid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lastRenderedPageBreak/>
        <w:t>h) Mantener permanentemente actualizada la información contenida en el micrositio de internet de la Comisión de Igualdad de Sustantiva y No Discriminación;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i) Proponer el protocolo para prevenir, atender y sancionar el hostigamiento y acoso sexual o laboral en el Instituto y darle seguimiento en coordinación con las diversas áreas del Instituto;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j) Elaborar informes trimestrales de sus actividades relacionadas con igualdad sustantiva, perspectiva de género y no discriminación a grupos en situación de vulnerabilidad, mismos que deberán presentarse a la Secretaría Ejecutiva, y</w:t>
      </w:r>
    </w:p>
    <w:p w:rsidR="00110B18" w:rsidRPr="00110B18" w:rsidRDefault="00110B18" w:rsidP="00110B18">
      <w:pPr>
        <w:jc w:val="both"/>
        <w:rPr>
          <w:rFonts w:ascii="Century Gothic" w:hAnsi="Century Gothic"/>
        </w:rPr>
      </w:pPr>
      <w:r w:rsidRPr="00110B18">
        <w:rPr>
          <w:rFonts w:ascii="Century Gothic" w:hAnsi="Century Gothic"/>
        </w:rPr>
        <w:t>k) Las demás que le confiera el Consejo General, el Secretario Ejecutivo, la Ley Electoral y demás disposiciones aplicables.</w:t>
      </w:r>
      <w:bookmarkStart w:id="0" w:name="_GoBack"/>
      <w:bookmarkEnd w:id="0"/>
    </w:p>
    <w:sectPr w:rsidR="00110B18" w:rsidRPr="00110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110B18"/>
    <w:rsid w:val="003C44DC"/>
    <w:rsid w:val="005919E8"/>
    <w:rsid w:val="00AF55D9"/>
    <w:rsid w:val="00E90B35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1986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2021-01-28T04:05:00Z</dcterms:created>
  <dcterms:modified xsi:type="dcterms:W3CDTF">2021-01-28T04:08:00Z</dcterms:modified>
</cp:coreProperties>
</file>