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020321" w:rsidRDefault="00C06BA5" w:rsidP="00C111F8">
      <w:pPr>
        <w:spacing w:after="0" w:line="240" w:lineRule="auto"/>
        <w:contextualSpacing/>
        <w:jc w:val="right"/>
        <w:rPr>
          <w:rFonts w:ascii="Humanst521 BT" w:hAnsi="Humanst521 BT" w:cs="Tahoma"/>
          <w:b/>
          <w:bCs/>
          <w:color w:val="000000"/>
        </w:rPr>
      </w:pPr>
      <w:r w:rsidRPr="00020321">
        <w:rPr>
          <w:rFonts w:ascii="Humanst521 BT" w:hAnsi="Humanst521 BT" w:cs="Tahoma"/>
          <w:b/>
          <w:bCs/>
          <w:color w:val="000000"/>
        </w:rPr>
        <w:t>Unidad de Transparencia del Instituto Electoral</w:t>
      </w:r>
    </w:p>
    <w:p w:rsidR="00C06BA5" w:rsidRPr="00020321" w:rsidRDefault="00C06BA5" w:rsidP="00C111F8">
      <w:pPr>
        <w:spacing w:after="0" w:line="240" w:lineRule="auto"/>
        <w:contextualSpacing/>
        <w:jc w:val="right"/>
        <w:rPr>
          <w:rFonts w:ascii="Humanst521 BT" w:hAnsi="Humanst521 BT" w:cs="Tahoma"/>
          <w:b/>
          <w:bCs/>
          <w:color w:val="000000"/>
        </w:rPr>
      </w:pPr>
      <w:proofErr w:type="gramStart"/>
      <w:r w:rsidRPr="00020321">
        <w:rPr>
          <w:rFonts w:ascii="Humanst521 BT" w:hAnsi="Humanst521 BT" w:cs="Tahoma"/>
          <w:b/>
          <w:bCs/>
          <w:color w:val="000000"/>
        </w:rPr>
        <w:t>y</w:t>
      </w:r>
      <w:proofErr w:type="gramEnd"/>
      <w:r w:rsidRPr="00020321">
        <w:rPr>
          <w:rFonts w:ascii="Humanst521 BT" w:hAnsi="Humanst521 BT" w:cs="Tahoma"/>
          <w:b/>
          <w:bCs/>
          <w:color w:val="000000"/>
        </w:rPr>
        <w:t xml:space="preserve"> de Participación Ciudadana</w:t>
      </w:r>
    </w:p>
    <w:p w:rsidR="006A1BEB" w:rsidRPr="00020321" w:rsidRDefault="006A1BEB" w:rsidP="00C111F8">
      <w:pPr>
        <w:spacing w:after="0" w:line="240" w:lineRule="auto"/>
        <w:contextualSpacing/>
        <w:jc w:val="right"/>
        <w:rPr>
          <w:rFonts w:ascii="Humanst521 BT" w:hAnsi="Humanst521 BT" w:cs="Tahoma"/>
          <w:b/>
          <w:bCs/>
          <w:color w:val="000000"/>
        </w:rPr>
      </w:pPr>
    </w:p>
    <w:p w:rsidR="00254B59" w:rsidRPr="00020321" w:rsidRDefault="00254B59" w:rsidP="00C111F8">
      <w:pPr>
        <w:spacing w:line="240" w:lineRule="auto"/>
        <w:contextualSpacing/>
        <w:jc w:val="right"/>
        <w:rPr>
          <w:rFonts w:ascii="Humanst521 BT" w:hAnsi="Humanst521 BT" w:cs="Tahoma"/>
          <w:b/>
          <w:bCs/>
          <w:lang w:val="es-ES"/>
        </w:rPr>
      </w:pPr>
      <w:r w:rsidRPr="00020321">
        <w:rPr>
          <w:rFonts w:ascii="Humanst521 BT" w:hAnsi="Humanst521 BT" w:cs="Tahoma"/>
          <w:b/>
          <w:bCs/>
          <w:lang w:val="es-ES"/>
        </w:rPr>
        <w:t>OFICIO No: UTIEPCBC</w:t>
      </w:r>
      <w:r w:rsidR="00784F2A" w:rsidRPr="00020321">
        <w:rPr>
          <w:rFonts w:ascii="Humanst521 BT" w:hAnsi="Humanst521 BT" w:cs="Tahoma"/>
          <w:b/>
          <w:bCs/>
          <w:lang w:val="es-ES"/>
        </w:rPr>
        <w:t>/</w:t>
      </w:r>
      <w:r w:rsidR="00257215">
        <w:rPr>
          <w:rFonts w:ascii="Humanst521 BT" w:hAnsi="Humanst521 BT" w:cs="Tahoma"/>
          <w:b/>
          <w:bCs/>
          <w:lang w:val="es-ES"/>
        </w:rPr>
        <w:t>050</w:t>
      </w:r>
      <w:r w:rsidRPr="00020321">
        <w:rPr>
          <w:rFonts w:ascii="Humanst521 BT" w:hAnsi="Humanst521 BT" w:cs="Tahoma"/>
          <w:b/>
          <w:bCs/>
          <w:lang w:val="es-ES"/>
        </w:rPr>
        <w:t>/201</w:t>
      </w:r>
      <w:r w:rsidR="009E69C6" w:rsidRPr="00020321">
        <w:rPr>
          <w:rFonts w:ascii="Humanst521 BT" w:hAnsi="Humanst521 BT" w:cs="Tahoma"/>
          <w:b/>
          <w:bCs/>
          <w:lang w:val="es-ES"/>
        </w:rPr>
        <w:t>4</w:t>
      </w:r>
    </w:p>
    <w:p w:rsidR="006A1BEB" w:rsidRPr="00020321" w:rsidRDefault="006A1BEB" w:rsidP="00C111F8">
      <w:pPr>
        <w:spacing w:line="240" w:lineRule="auto"/>
        <w:contextualSpacing/>
        <w:jc w:val="right"/>
        <w:rPr>
          <w:rFonts w:ascii="Humanst521 BT" w:hAnsi="Humanst521 BT" w:cs="Tahoma"/>
          <w:b/>
          <w:bCs/>
          <w:lang w:val="es-ES"/>
        </w:rPr>
      </w:pPr>
    </w:p>
    <w:p w:rsidR="00254B59" w:rsidRPr="00020321" w:rsidRDefault="00254B59" w:rsidP="00C111F8">
      <w:pPr>
        <w:spacing w:line="240" w:lineRule="auto"/>
        <w:contextualSpacing/>
        <w:jc w:val="right"/>
        <w:rPr>
          <w:rFonts w:ascii="Humanst521 BT" w:hAnsi="Humanst521 BT" w:cs="Tahoma"/>
          <w:lang w:val="es-ES"/>
        </w:rPr>
      </w:pPr>
      <w:r w:rsidRPr="00020321">
        <w:rPr>
          <w:rFonts w:ascii="Humanst521 BT" w:hAnsi="Humanst521 BT" w:cs="Tahoma"/>
          <w:lang w:val="es-ES"/>
        </w:rPr>
        <w:t xml:space="preserve">Mexicali, Baja California, a </w:t>
      </w:r>
      <w:r w:rsidR="00020321" w:rsidRPr="00020321">
        <w:rPr>
          <w:rFonts w:ascii="Humanst521 BT" w:hAnsi="Humanst521 BT" w:cs="Tahoma"/>
          <w:lang w:val="es-ES"/>
        </w:rPr>
        <w:t>17</w:t>
      </w:r>
      <w:r w:rsidR="009C120C" w:rsidRPr="00020321">
        <w:rPr>
          <w:rFonts w:ascii="Humanst521 BT" w:hAnsi="Humanst521 BT" w:cs="Tahoma"/>
          <w:lang w:val="es-ES"/>
        </w:rPr>
        <w:t xml:space="preserve"> </w:t>
      </w:r>
      <w:r w:rsidR="00C111F8" w:rsidRPr="00020321">
        <w:rPr>
          <w:rFonts w:ascii="Humanst521 BT" w:hAnsi="Humanst521 BT" w:cs="Tahoma"/>
          <w:lang w:val="es-ES"/>
        </w:rPr>
        <w:t>de febrero</w:t>
      </w:r>
      <w:r w:rsidR="00866745" w:rsidRPr="00020321">
        <w:rPr>
          <w:rFonts w:ascii="Humanst521 BT" w:hAnsi="Humanst521 BT" w:cs="Tahoma"/>
          <w:lang w:val="es-ES"/>
        </w:rPr>
        <w:t xml:space="preserve"> de </w:t>
      </w:r>
      <w:r w:rsidR="009E69C6" w:rsidRPr="00020321">
        <w:rPr>
          <w:rFonts w:ascii="Humanst521 BT" w:hAnsi="Humanst521 BT" w:cs="Tahoma"/>
          <w:lang w:val="es-ES"/>
        </w:rPr>
        <w:t>2014</w:t>
      </w:r>
    </w:p>
    <w:p w:rsidR="00254B59" w:rsidRPr="00020321" w:rsidRDefault="00254B59" w:rsidP="00C111F8">
      <w:pPr>
        <w:spacing w:line="240" w:lineRule="auto"/>
        <w:contextualSpacing/>
        <w:jc w:val="right"/>
        <w:rPr>
          <w:rFonts w:ascii="Humanst521 BT" w:hAnsi="Humanst521 BT" w:cs="Tahoma"/>
          <w:lang w:val="es-ES"/>
        </w:rPr>
      </w:pPr>
    </w:p>
    <w:p w:rsidR="00254B59" w:rsidRPr="00020321" w:rsidRDefault="00254B59" w:rsidP="00406041">
      <w:pPr>
        <w:spacing w:after="0" w:line="240" w:lineRule="auto"/>
        <w:contextualSpacing/>
        <w:jc w:val="both"/>
        <w:rPr>
          <w:rFonts w:ascii="Humanst521 BT" w:hAnsi="Humanst521 BT" w:cs="Tahoma"/>
        </w:rPr>
      </w:pPr>
    </w:p>
    <w:p w:rsidR="005E22AF" w:rsidRPr="00020321" w:rsidRDefault="005E22AF" w:rsidP="00406041">
      <w:pPr>
        <w:spacing w:after="0" w:line="240" w:lineRule="auto"/>
        <w:contextualSpacing/>
        <w:jc w:val="both"/>
        <w:rPr>
          <w:rFonts w:ascii="Humanst521 BT" w:hAnsi="Humanst521 BT" w:cs="Tahoma"/>
        </w:rPr>
      </w:pPr>
    </w:p>
    <w:p w:rsidR="00C753C4" w:rsidRPr="00020321" w:rsidRDefault="00FC466C" w:rsidP="008F044B">
      <w:pPr>
        <w:spacing w:after="0" w:line="240" w:lineRule="auto"/>
        <w:jc w:val="both"/>
        <w:rPr>
          <w:rFonts w:ascii="Humanst521 BT" w:hAnsi="Humanst521 BT"/>
          <w:lang w:val="es-ES"/>
        </w:rPr>
      </w:pPr>
      <w:r w:rsidRPr="00020321">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257215">
        <w:rPr>
          <w:rFonts w:ascii="Humanst521 BT" w:hAnsi="Humanst521 BT"/>
          <w:lang w:val="es-ES"/>
        </w:rPr>
        <w:t>13</w:t>
      </w:r>
      <w:r w:rsidR="00C111F8" w:rsidRPr="00020321">
        <w:rPr>
          <w:rFonts w:ascii="Humanst521 BT" w:hAnsi="Humanst521 BT"/>
          <w:lang w:val="es-ES"/>
        </w:rPr>
        <w:t xml:space="preserve"> de febrero</w:t>
      </w:r>
      <w:r w:rsidR="00A209D9" w:rsidRPr="00020321">
        <w:rPr>
          <w:rFonts w:ascii="Humanst521 BT" w:hAnsi="Humanst521 BT"/>
          <w:lang w:val="es-ES"/>
        </w:rPr>
        <w:t xml:space="preserve"> </w:t>
      </w:r>
      <w:r w:rsidRPr="00020321">
        <w:rPr>
          <w:rFonts w:ascii="Humanst521 BT" w:hAnsi="Humanst521 BT"/>
          <w:lang w:val="es-ES"/>
        </w:rPr>
        <w:t xml:space="preserve">del año en curso, a la que correspondió el número de </w:t>
      </w:r>
      <w:r w:rsidR="00A1261F" w:rsidRPr="00020321">
        <w:rPr>
          <w:rFonts w:ascii="Humanst521 BT" w:hAnsi="Humanst521 BT"/>
          <w:b/>
          <w:bCs/>
          <w:lang w:val="es-ES"/>
        </w:rPr>
        <w:t xml:space="preserve">folio </w:t>
      </w:r>
      <w:r w:rsidR="00597201" w:rsidRPr="00020321">
        <w:rPr>
          <w:rFonts w:ascii="Humanst521 BT" w:hAnsi="Humanst521 BT"/>
          <w:b/>
          <w:bCs/>
          <w:lang w:val="es-ES"/>
        </w:rPr>
        <w:t>00</w:t>
      </w:r>
      <w:r w:rsidR="00C111F8" w:rsidRPr="00020321">
        <w:rPr>
          <w:rFonts w:ascii="Humanst521 BT" w:hAnsi="Humanst521 BT"/>
          <w:b/>
          <w:bCs/>
          <w:lang w:val="es-ES"/>
        </w:rPr>
        <w:t>01</w:t>
      </w:r>
      <w:r w:rsidR="00257215">
        <w:rPr>
          <w:rFonts w:ascii="Humanst521 BT" w:hAnsi="Humanst521 BT"/>
          <w:b/>
          <w:bCs/>
          <w:lang w:val="es-ES"/>
        </w:rPr>
        <w:t>6</w:t>
      </w:r>
      <w:r w:rsidR="00597201" w:rsidRPr="00020321">
        <w:rPr>
          <w:rFonts w:ascii="Humanst521 BT" w:hAnsi="Humanst521 BT"/>
          <w:lang w:val="es-ES"/>
        </w:rPr>
        <w:t>,</w:t>
      </w:r>
      <w:r w:rsidR="00A1261F" w:rsidRPr="00020321">
        <w:rPr>
          <w:rFonts w:ascii="Humanst521 BT" w:hAnsi="Humanst521 BT"/>
          <w:lang w:val="es-ES"/>
        </w:rPr>
        <w:t xml:space="preserve"> </w:t>
      </w:r>
      <w:r w:rsidRPr="00020321">
        <w:rPr>
          <w:rFonts w:ascii="Humanst521 BT" w:hAnsi="Humanst521 BT"/>
          <w:lang w:val="es-ES"/>
        </w:rPr>
        <w:t>se le informa lo siguiente:</w:t>
      </w:r>
    </w:p>
    <w:p w:rsidR="00020321" w:rsidRPr="00020321" w:rsidRDefault="00020321" w:rsidP="005E22AF">
      <w:pPr>
        <w:spacing w:after="0" w:line="240" w:lineRule="auto"/>
        <w:jc w:val="both"/>
        <w:rPr>
          <w:rFonts w:ascii="Humanst521 BT" w:hAnsi="Humanst521 BT"/>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Durante la XXVI Sesión Extraordinaria del Consejo General Electoral celebrada el día 16 de julio de 2013, se emitió la Declaración de Validez de la Elección de Gobernador Constitucional del Estado, y en el que se determinó los porcentajes de votación en cada uno de los diecisiete distritos electorales.</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Así mismo, en la XXVII Sesión Extraordinaria del Consejo General Electoral celebrada el día 17 de julio de 2013, se emitió la Declaración de Validez de la Elección de Munícipes de los Ayuntamientos de Tijuana, Ensenada, </w:t>
      </w:r>
      <w:proofErr w:type="spellStart"/>
      <w:r w:rsidRPr="00020321">
        <w:rPr>
          <w:rFonts w:ascii="Humanst521 BT" w:hAnsi="Humanst521 BT"/>
          <w:bCs/>
          <w:color w:val="000000"/>
          <w:sz w:val="22"/>
          <w:szCs w:val="22"/>
        </w:rPr>
        <w:t>Tecate</w:t>
      </w:r>
      <w:proofErr w:type="spellEnd"/>
      <w:r w:rsidRPr="00020321">
        <w:rPr>
          <w:rFonts w:ascii="Humanst521 BT" w:hAnsi="Humanst521 BT"/>
          <w:bCs/>
          <w:color w:val="000000"/>
          <w:sz w:val="22"/>
          <w:szCs w:val="22"/>
        </w:rPr>
        <w:t>, Playas de Rosarito y Mexicali, y en el que se determinó los porcentajes de votación en cada Municipio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Realizado lo anterior, se celebró XXIX Sesión Extraordinaria del Consejo General Electoral el día 22 de agosto de 2013, en la que fueron aprobados los dictámenes 7, 8, 9, 10, 11 emitidos por la Comisión del Régimen de Partidos Políticos, relativos a la asignación de Sindico Social y Regidores por el Principio de Representación Proporcional para integrar el XXI Ayuntamiento del Municipio de Ensenada, Mexicali y Tijuana, así como de Playas de Rosa</w:t>
      </w:r>
      <w:r w:rsidR="009970F3">
        <w:rPr>
          <w:rFonts w:ascii="Humanst521 BT" w:hAnsi="Humanst521 BT"/>
          <w:bCs/>
          <w:color w:val="000000"/>
          <w:sz w:val="22"/>
          <w:szCs w:val="22"/>
        </w:rPr>
        <w:t xml:space="preserve">rito y </w:t>
      </w:r>
      <w:proofErr w:type="spellStart"/>
      <w:r w:rsidR="009970F3">
        <w:rPr>
          <w:rFonts w:ascii="Humanst521 BT" w:hAnsi="Humanst521 BT"/>
          <w:bCs/>
          <w:color w:val="000000"/>
          <w:sz w:val="22"/>
          <w:szCs w:val="22"/>
        </w:rPr>
        <w:t>Tecate</w:t>
      </w:r>
      <w:proofErr w:type="spellEnd"/>
      <w:r w:rsidR="009970F3">
        <w:rPr>
          <w:rFonts w:ascii="Humanst521 BT" w:hAnsi="Humanst521 BT"/>
          <w:bCs/>
          <w:color w:val="000000"/>
          <w:sz w:val="22"/>
          <w:szCs w:val="22"/>
        </w:rPr>
        <w:t>,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Por último, durante la XXX Sesión Extraordinaria del Consejo General Electoral de fecha 09 de septiembre de 2013, se aprobó el dictamen 12, emitido por la Comisión del Régimen de Partidos Políticos, relativo a la Asignación de Diputados por el Principio de Representación Proporcional para integrar la XXI Legislatura del Congreso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spacing w:after="0" w:line="240" w:lineRule="auto"/>
        <w:jc w:val="both"/>
        <w:rPr>
          <w:rFonts w:ascii="Humanst521 BT" w:hAnsi="Humanst521 BT"/>
        </w:rPr>
      </w:pPr>
      <w:r w:rsidRPr="00020321">
        <w:rPr>
          <w:rFonts w:ascii="Humanst521 BT" w:hAnsi="Humanst521 BT"/>
        </w:rPr>
        <w:t xml:space="preserve">Los documentos mencionados, se encuentran publicados en el portal de internet de nuestro Instituto: </w:t>
      </w:r>
      <w:hyperlink r:id="rId5" w:history="1">
        <w:r w:rsidRPr="00020321">
          <w:rPr>
            <w:rStyle w:val="Hipervnculo"/>
            <w:rFonts w:ascii="Humanst521 BT" w:hAnsi="Humanst521 BT"/>
          </w:rPr>
          <w:t>http://iepcbc.org.mx/index.php</w:t>
        </w:r>
      </w:hyperlink>
      <w:r w:rsidRPr="00020321">
        <w:rPr>
          <w:rFonts w:ascii="Humanst521 BT" w:hAnsi="Humanst521 BT"/>
        </w:rPr>
        <w:t xml:space="preserve">, en la liga </w:t>
      </w:r>
      <w:r w:rsidRPr="00020321">
        <w:rPr>
          <w:rFonts w:ascii="Humanst521 BT" w:hAnsi="Humanst521 BT"/>
          <w:i/>
        </w:rPr>
        <w:t>Consejo General</w:t>
      </w:r>
      <w:r w:rsidRPr="00020321">
        <w:rPr>
          <w:rFonts w:ascii="Humanst521 BT" w:hAnsi="Humanst521 BT"/>
        </w:rPr>
        <w:t xml:space="preserve"> y posteriormente </w:t>
      </w:r>
      <w:r w:rsidRPr="00020321">
        <w:rPr>
          <w:rFonts w:ascii="Humanst521 BT" w:hAnsi="Humanst521 BT"/>
          <w:i/>
        </w:rPr>
        <w:t>Sesiones y Acuerdos</w:t>
      </w:r>
      <w:r w:rsidRPr="00020321">
        <w:rPr>
          <w:rFonts w:ascii="Humanst521 BT" w:hAnsi="Humanst521 BT"/>
        </w:rPr>
        <w:t xml:space="preserve">, dentro de </w:t>
      </w:r>
      <w:r w:rsidRPr="00020321">
        <w:rPr>
          <w:rFonts w:ascii="Humanst521 BT" w:hAnsi="Humanst521 BT"/>
          <w:i/>
        </w:rPr>
        <w:t>Sesiones Extraordinarias</w:t>
      </w:r>
      <w:r w:rsidRPr="00020321">
        <w:rPr>
          <w:rFonts w:ascii="Humanst521 BT" w:hAnsi="Humanst521 BT"/>
        </w:rPr>
        <w:t xml:space="preserve"> para dar lectura a los mismos.</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Es importante informarle, que la forma en </w:t>
      </w:r>
      <w:r>
        <w:rPr>
          <w:rFonts w:ascii="Humanst521 BT" w:hAnsi="Humanst521 BT"/>
          <w:bCs/>
          <w:color w:val="000000"/>
          <w:sz w:val="22"/>
          <w:szCs w:val="22"/>
        </w:rPr>
        <w:t>que</w:t>
      </w:r>
      <w:r w:rsidR="009970F3">
        <w:rPr>
          <w:rFonts w:ascii="Humanst521 BT" w:hAnsi="Humanst521 BT"/>
          <w:bCs/>
          <w:color w:val="000000"/>
          <w:sz w:val="22"/>
          <w:szCs w:val="22"/>
        </w:rPr>
        <w:t xml:space="preserve"> </w:t>
      </w:r>
      <w:r w:rsidRPr="00020321">
        <w:rPr>
          <w:rFonts w:ascii="Humanst521 BT" w:hAnsi="Humanst521 BT"/>
          <w:bCs/>
          <w:color w:val="000000"/>
          <w:sz w:val="22"/>
          <w:szCs w:val="22"/>
        </w:rPr>
        <w:t>solicita la información del histórico electoral de la elección estatal 2013 en archivo Excel desglosado por</w:t>
      </w:r>
      <w:r w:rsidR="009970F3">
        <w:rPr>
          <w:rFonts w:ascii="Humanst521 BT" w:hAnsi="Humanst521 BT"/>
          <w:bCs/>
          <w:color w:val="000000"/>
          <w:sz w:val="22"/>
          <w:szCs w:val="22"/>
        </w:rPr>
        <w:t xml:space="preserve"> casilla</w:t>
      </w:r>
      <w:r w:rsidRPr="00020321">
        <w:rPr>
          <w:rFonts w:ascii="Humanst521 BT" w:hAnsi="Humanst521 BT"/>
          <w:bCs/>
          <w:color w:val="000000"/>
          <w:sz w:val="22"/>
          <w:szCs w:val="22"/>
        </w:rPr>
        <w:t>, conforma parte de la estadística y memoria del proceso electoral, establecido en el artículo 160 fracción VII de la Ley de Instituciones y Procedimientos Electorales del Estado de Baja California.</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Si bien es cierto, la Dirección de Informática y Estadística Electoral tiene la responsabilidad de elaborar los estudios, estadísticas electorales y memoria del proceso electoral, en términos del artículo citado en el párrafo anterior, también lo es que dicha responsabilidad se encuentra vinculada con lo establecido en diversas disposiciones de la Ley electoral local, tal y como se demuestra a continuación:</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lastRenderedPageBreak/>
        <w:t xml:space="preserve">Artículo. 155.- Son atribuciones del Director General del Instituto Electoral: </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“XIV. Integrar y publicar la memoria del proceso electoral conteniendo la estadística electoral por Estado, Municipio, Distrito y Sección, </w:t>
      </w:r>
      <w:r w:rsidRPr="00020321">
        <w:rPr>
          <w:rFonts w:ascii="Humanst521 BT" w:hAnsi="Humanst521 BT"/>
          <w:b/>
          <w:bCs/>
          <w:i/>
          <w:color w:val="000000"/>
          <w:sz w:val="22"/>
          <w:szCs w:val="22"/>
        </w:rPr>
        <w:t>una vez concluido el proceso electoral</w:t>
      </w:r>
      <w:r w:rsidRPr="00020321">
        <w:rPr>
          <w:rFonts w:ascii="Humanst521 BT" w:hAnsi="Humanst521 BT"/>
          <w:bCs/>
          <w:i/>
          <w:color w:val="000000"/>
          <w:sz w:val="22"/>
          <w:szCs w:val="22"/>
        </w:rPr>
        <w:t>”.</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241.- El proceso electoral se inicia con la sesión pública que celebre el Consejo General, en los términos del artículo 142 de esta Ley, </w:t>
      </w:r>
      <w:r w:rsidRPr="00020321">
        <w:rPr>
          <w:rFonts w:ascii="Humanst521 BT" w:hAnsi="Humanst521 BT"/>
          <w:b/>
          <w:bCs/>
          <w:i/>
          <w:color w:val="000000"/>
          <w:sz w:val="22"/>
          <w:szCs w:val="22"/>
        </w:rPr>
        <w:t>y concluye una vez entregadas las constancias de asignación de representación proporcional correspondientes</w:t>
      </w:r>
      <w:r w:rsidRPr="00020321">
        <w:rPr>
          <w:rFonts w:ascii="Humanst521 BT" w:hAnsi="Humanst521 BT"/>
          <w:bCs/>
          <w:i/>
          <w:color w:val="000000"/>
          <w:sz w:val="22"/>
          <w:szCs w:val="22"/>
        </w:rPr>
        <w:t>.</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247.- </w:t>
      </w:r>
      <w:r w:rsidRPr="00020321">
        <w:rPr>
          <w:rFonts w:ascii="Humanst521 BT" w:hAnsi="Humanst521 BT"/>
          <w:b/>
          <w:bCs/>
          <w:i/>
          <w:color w:val="000000"/>
          <w:sz w:val="22"/>
          <w:szCs w:val="22"/>
        </w:rPr>
        <w:t>Concluido el proceso electoral, el Consejo General, deberá dar aviso, al Congreso del Estado de los resultados de las elecciones</w:t>
      </w:r>
      <w:r w:rsidRPr="00020321">
        <w:rPr>
          <w:rFonts w:ascii="Humanst521 BT" w:hAnsi="Humanst521 BT"/>
          <w:bCs/>
          <w:i/>
          <w:color w:val="000000"/>
          <w:sz w:val="22"/>
          <w:szCs w:val="22"/>
        </w:rPr>
        <w:t>, para los efectos que señala el artículo 27 fracciones VII y VIII de la Constitución del Estado.</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387.- </w:t>
      </w:r>
      <w:r w:rsidRPr="00020321">
        <w:rPr>
          <w:rFonts w:ascii="Humanst521 BT" w:hAnsi="Humanst521 BT"/>
          <w:b/>
          <w:bCs/>
          <w:i/>
          <w:color w:val="000000"/>
          <w:sz w:val="22"/>
          <w:szCs w:val="22"/>
        </w:rPr>
        <w:t>Durante el mes de enero del año siguiente a la elección, la Dirección General del Instituto Electoral expondrá al público la documentación a que se refiere el artículo 382 de esta Ley</w:t>
      </w:r>
      <w:r w:rsidRPr="00020321">
        <w:rPr>
          <w:rFonts w:ascii="Humanst521 BT" w:hAnsi="Humanst521 BT"/>
          <w:bCs/>
          <w:i/>
          <w:color w:val="000000"/>
          <w:sz w:val="22"/>
          <w:szCs w:val="22"/>
        </w:rPr>
        <w:t xml:space="preserve">, </w:t>
      </w:r>
      <w:r w:rsidRPr="00020321">
        <w:rPr>
          <w:rFonts w:ascii="Humanst521 BT" w:hAnsi="Humanst521 BT"/>
          <w:b/>
          <w:bCs/>
          <w:i/>
          <w:color w:val="000000"/>
          <w:sz w:val="22"/>
          <w:szCs w:val="22"/>
        </w:rPr>
        <w:t>para proceder posteriormente a la elaboración de la estadística electoral y los estudios del proceso electoral</w:t>
      </w:r>
      <w:r w:rsidRPr="00020321">
        <w:rPr>
          <w:rFonts w:ascii="Humanst521 BT" w:hAnsi="Humanst521 BT"/>
          <w:bCs/>
          <w:i/>
          <w:color w:val="000000"/>
          <w:sz w:val="22"/>
          <w:szCs w:val="22"/>
        </w:rPr>
        <w:t>. El Consejo General, acordará la fecha y modo en que habrán de ser destruidos.</w:t>
      </w:r>
    </w:p>
    <w:p w:rsidR="00020321" w:rsidRPr="00020321" w:rsidRDefault="00020321" w:rsidP="00020321">
      <w:pPr>
        <w:pStyle w:val="Textoindependiente"/>
        <w:ind w:left="1134"/>
        <w:rPr>
          <w:rFonts w:ascii="Humanst521 BT" w:hAnsi="Humanst521 BT"/>
          <w:bCs/>
          <w:i/>
          <w:color w:val="000000"/>
          <w:sz w:val="22"/>
          <w:szCs w:val="22"/>
        </w:rPr>
      </w:pPr>
    </w:p>
    <w:p w:rsidR="00020321" w:rsidRPr="00020321" w:rsidRDefault="00020321" w:rsidP="00020321">
      <w:pPr>
        <w:pStyle w:val="Textoindependiente"/>
        <w:ind w:left="1134"/>
        <w:rPr>
          <w:rFonts w:ascii="Humanst521 BT" w:hAnsi="Humanst521 BT"/>
          <w:bCs/>
          <w:i/>
          <w:color w:val="000000"/>
          <w:sz w:val="22"/>
          <w:szCs w:val="22"/>
        </w:rPr>
      </w:pPr>
      <w:r w:rsidRPr="00020321">
        <w:rPr>
          <w:rFonts w:ascii="Humanst521 BT" w:hAnsi="Humanst521 BT"/>
          <w:bCs/>
          <w:i/>
          <w:color w:val="000000"/>
          <w:sz w:val="22"/>
          <w:szCs w:val="22"/>
        </w:rPr>
        <w:t xml:space="preserve">Artículo 382.- Los Consejeros Presidentes de los Consejos Distritales correspondientes, conservarán en su poder una copia certificada de todas las actas y documentación de los expedientes de cómputo distrital y tomarán las medidas necesarias para el depósito en el lugar señalado para tal efecto, de los sobres que contengan la documentación a que se refiere el artículo 355 de esta Ley, </w:t>
      </w:r>
      <w:r w:rsidRPr="00020321">
        <w:rPr>
          <w:rFonts w:ascii="Humanst521 BT" w:hAnsi="Humanst521 BT"/>
          <w:b/>
          <w:bCs/>
          <w:i/>
          <w:color w:val="000000"/>
          <w:sz w:val="22"/>
          <w:szCs w:val="22"/>
        </w:rPr>
        <w:t>hasta la conclusión del proceso electoral</w:t>
      </w:r>
      <w:r w:rsidRPr="00020321">
        <w:rPr>
          <w:rFonts w:ascii="Humanst521 BT" w:hAnsi="Humanst521 BT"/>
          <w:bCs/>
          <w:i/>
          <w:color w:val="000000"/>
          <w:sz w:val="22"/>
          <w:szCs w:val="22"/>
        </w:rPr>
        <w:t>.</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 xml:space="preserve">Como puede observarse, la elaboración de la estadística y memoria electoral, está sujeta a una serie de actos concatenados entre si y que requieren para su materialización de dos supuestos: El primero, que concluya el proceso electoral y el segundo, </w:t>
      </w:r>
      <w:r w:rsidRPr="00020321">
        <w:rPr>
          <w:rFonts w:ascii="Humanst521 BT" w:hAnsi="Humanst521 BT"/>
          <w:b/>
          <w:bCs/>
          <w:color w:val="000000"/>
          <w:sz w:val="22"/>
          <w:szCs w:val="22"/>
          <w:u w:val="single"/>
        </w:rPr>
        <w:t>que sea exhibida la documentación electoral en el mes de enero del año siguiente al de la elección</w:t>
      </w:r>
      <w:r w:rsidRPr="00020321">
        <w:rPr>
          <w:rFonts w:ascii="Humanst521 BT" w:hAnsi="Humanst521 BT"/>
          <w:bCs/>
          <w:color w:val="000000"/>
          <w:sz w:val="22"/>
          <w:szCs w:val="22"/>
        </w:rPr>
        <w:t>, lo cual en la especie acaba de acontecer.</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Es menester indicar que en lo relativo a la conclusión del proceso estatal electoral 2013, este concluyó el pasado 30 de octubre del año en curso, al resolverse el último medio de impugnación interpuesto, siendo el relativo a la elección de Gobernador Constitucional del Estado.</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9970F3">
        <w:rPr>
          <w:rFonts w:ascii="Humanst521 BT" w:hAnsi="Humanst521 BT"/>
          <w:bCs/>
          <w:color w:val="000000"/>
          <w:sz w:val="22"/>
          <w:szCs w:val="22"/>
        </w:rPr>
        <w:t xml:space="preserve">Y en cuanto al segundo supuesto, tiene relación directa con la forma en que requiere el recurrente sea contestada su solicitud de información, con relación a los resultados electorales del proceso electoral 2013, </w:t>
      </w:r>
      <w:r w:rsidR="009970F3">
        <w:rPr>
          <w:rFonts w:ascii="Humanst521 BT" w:hAnsi="Humanst521 BT"/>
          <w:bCs/>
          <w:i/>
          <w:color w:val="000000"/>
          <w:sz w:val="22"/>
          <w:szCs w:val="22"/>
        </w:rPr>
        <w:t>por casilla para Gobernador, presidentes municipales y diputados locales</w:t>
      </w:r>
      <w:r w:rsidRPr="009970F3">
        <w:rPr>
          <w:rFonts w:ascii="Humanst521 BT" w:hAnsi="Humanst521 BT"/>
          <w:bCs/>
          <w:i/>
          <w:color w:val="000000"/>
          <w:sz w:val="22"/>
          <w:szCs w:val="22"/>
        </w:rPr>
        <w:t>,</w:t>
      </w:r>
      <w:r w:rsidRPr="009970F3">
        <w:rPr>
          <w:rFonts w:ascii="Humanst521 BT" w:hAnsi="Humanst521 BT"/>
          <w:bCs/>
          <w:color w:val="000000"/>
          <w:sz w:val="22"/>
          <w:szCs w:val="22"/>
        </w:rPr>
        <w:t xml:space="preserve"> encontrándose por consiguiente condicionada su solicitud a que en el mes de enero de 2014, se proceda a su exhibición de toda la documentación electoral, para posteriormente proceder a la elaboración de la memoria electoral que nos ocupa, tal y como lo dispone la normatividad electoral local.</w:t>
      </w:r>
    </w:p>
    <w:p w:rsidR="00020321" w:rsidRPr="00020321" w:rsidRDefault="00020321" w:rsidP="00020321">
      <w:pPr>
        <w:pStyle w:val="Textoindependiente"/>
        <w:rPr>
          <w:rFonts w:ascii="Humanst521 BT" w:hAnsi="Humanst521 BT"/>
          <w:bCs/>
          <w:color w:val="000000"/>
          <w:sz w:val="22"/>
          <w:szCs w:val="22"/>
        </w:rPr>
      </w:pPr>
    </w:p>
    <w:p w:rsidR="00020321" w:rsidRPr="00020321" w:rsidRDefault="00020321" w:rsidP="00020321">
      <w:pPr>
        <w:pStyle w:val="Textoindependiente"/>
        <w:rPr>
          <w:rFonts w:ascii="Humanst521 BT" w:hAnsi="Humanst521 BT"/>
          <w:bCs/>
          <w:color w:val="000000"/>
          <w:sz w:val="22"/>
          <w:szCs w:val="22"/>
        </w:rPr>
      </w:pPr>
      <w:r w:rsidRPr="00020321">
        <w:rPr>
          <w:rFonts w:ascii="Humanst521 BT" w:hAnsi="Humanst521 BT"/>
          <w:bCs/>
          <w:color w:val="000000"/>
          <w:sz w:val="22"/>
          <w:szCs w:val="22"/>
        </w:rPr>
        <w:t>En conclusión, los resultados electorales del Proceso Electoral 2013, han causado estado y se encuentran a disposición de la ciudadanía en el Portal de Internet del Instituto Electoral y de Participación Ciudadana del Estado de Baja California, tal y como ha quedado detallado anteriormente.</w:t>
      </w:r>
    </w:p>
    <w:p w:rsidR="00020321" w:rsidRPr="00020321" w:rsidRDefault="00020321" w:rsidP="005E22AF">
      <w:pPr>
        <w:spacing w:after="0" w:line="240" w:lineRule="auto"/>
        <w:jc w:val="both"/>
        <w:rPr>
          <w:rFonts w:ascii="Humanst521 BT" w:hAnsi="Humanst521 BT"/>
        </w:rPr>
      </w:pPr>
    </w:p>
    <w:p w:rsidR="009970F3" w:rsidRPr="002B5010" w:rsidRDefault="009970F3" w:rsidP="009970F3">
      <w:pPr>
        <w:spacing w:after="0" w:line="240" w:lineRule="auto"/>
        <w:jc w:val="both"/>
        <w:rPr>
          <w:rFonts w:ascii="Humanst521 BT" w:hAnsi="Humanst521 BT"/>
        </w:rPr>
      </w:pPr>
      <w:r>
        <w:rPr>
          <w:rFonts w:ascii="Humanst521 BT" w:hAnsi="Humanst521 BT"/>
        </w:rPr>
        <w:lastRenderedPageBreak/>
        <w:t xml:space="preserve">De igual forma el listado nominal se encuentre publicado en el portal de internet de nuestro </w:t>
      </w:r>
      <w:proofErr w:type="spellStart"/>
      <w:r>
        <w:rPr>
          <w:rFonts w:ascii="Humanst521 BT" w:hAnsi="Humanst521 BT"/>
        </w:rPr>
        <w:t>Insituto</w:t>
      </w:r>
      <w:proofErr w:type="spellEnd"/>
      <w:r>
        <w:rPr>
          <w:rFonts w:ascii="Humanst521 BT" w:hAnsi="Humanst521 BT"/>
        </w:rPr>
        <w:t xml:space="preserve">: </w:t>
      </w:r>
      <w:hyperlink r:id="rId6" w:history="1">
        <w:r w:rsidRPr="00A73839">
          <w:rPr>
            <w:rStyle w:val="Hipervnculo"/>
            <w:rFonts w:ascii="Humanst521 BT" w:hAnsi="Humanst521 BT"/>
          </w:rPr>
          <w:t>http://iepcbc.org.mx/padron.php</w:t>
        </w:r>
      </w:hyperlink>
      <w:r>
        <w:rPr>
          <w:rFonts w:ascii="Humanst521 BT" w:hAnsi="Humanst521 BT"/>
        </w:rPr>
        <w:t xml:space="preserve"> en</w:t>
      </w:r>
      <w:r w:rsidRPr="002B5010">
        <w:rPr>
          <w:rFonts w:ascii="Humanst521 BT" w:hAnsi="Humanst521 BT"/>
        </w:rPr>
        <w:t xml:space="preserve"> la liga </w:t>
      </w:r>
      <w:r>
        <w:rPr>
          <w:rFonts w:ascii="Humanst521 BT" w:hAnsi="Humanst521 BT"/>
          <w:i/>
        </w:rPr>
        <w:t>Estadística</w:t>
      </w:r>
      <w:r w:rsidRPr="002B5010">
        <w:rPr>
          <w:rFonts w:ascii="Humanst521 BT" w:hAnsi="Humanst521 BT"/>
        </w:rPr>
        <w:t xml:space="preserve"> y posteriormente</w:t>
      </w:r>
      <w:r>
        <w:rPr>
          <w:rFonts w:ascii="Humanst521 BT" w:hAnsi="Humanst521 BT"/>
          <w:i/>
        </w:rPr>
        <w:t xml:space="preserve"> Padrón y Listado Nominal</w:t>
      </w:r>
      <w:r>
        <w:rPr>
          <w:rFonts w:ascii="Humanst521 BT" w:hAnsi="Humanst521 BT"/>
        </w:rPr>
        <w:t>.</w:t>
      </w:r>
    </w:p>
    <w:p w:rsidR="009970F3" w:rsidRPr="009970F3" w:rsidRDefault="009970F3" w:rsidP="008F044B">
      <w:pPr>
        <w:spacing w:after="0" w:line="240" w:lineRule="auto"/>
        <w:jc w:val="both"/>
        <w:rPr>
          <w:rFonts w:ascii="Humanst521 BT" w:hAnsi="Humanst521 BT"/>
        </w:rPr>
      </w:pPr>
    </w:p>
    <w:p w:rsidR="008173E1" w:rsidRPr="00020321" w:rsidRDefault="008173E1" w:rsidP="008F044B">
      <w:pPr>
        <w:pStyle w:val="Textosinformato"/>
        <w:jc w:val="both"/>
        <w:rPr>
          <w:rFonts w:ascii="Humanst521 BT" w:hAnsi="Humanst521 BT"/>
          <w:sz w:val="22"/>
          <w:szCs w:val="22"/>
          <w:lang w:val="es-MX"/>
        </w:rPr>
      </w:pPr>
      <w:r w:rsidRPr="00020321">
        <w:rPr>
          <w:rFonts w:ascii="Humanst521 BT" w:hAnsi="Humanst521 BT"/>
          <w:sz w:val="22"/>
          <w:szCs w:val="22"/>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7" w:history="1">
        <w:r w:rsidRPr="00020321">
          <w:rPr>
            <w:rStyle w:val="Hipervnculo"/>
            <w:rFonts w:ascii="Humanst521 BT" w:hAnsi="Humanst521 BT"/>
            <w:sz w:val="22"/>
            <w:szCs w:val="22"/>
            <w:lang w:val="es-MX"/>
          </w:rPr>
          <w:t>http://itaipbc.org.mx/index.php/accesoalainformacionpublica/interponerrecursoderevision</w:t>
        </w:r>
      </w:hyperlink>
      <w:r w:rsidRPr="00020321">
        <w:rPr>
          <w:rFonts w:ascii="Humanst521 BT" w:hAnsi="Humanst521 BT"/>
          <w:sz w:val="22"/>
          <w:szCs w:val="22"/>
          <w:lang w:val="es-MX"/>
        </w:rPr>
        <w:t>.</w:t>
      </w:r>
    </w:p>
    <w:p w:rsidR="008173E1" w:rsidRPr="00020321" w:rsidRDefault="008173E1" w:rsidP="00C111F8">
      <w:pPr>
        <w:rPr>
          <w:rFonts w:ascii="Humanst521 BT" w:hAnsi="Humanst521 BT"/>
        </w:rPr>
      </w:pPr>
    </w:p>
    <w:p w:rsidR="005E22AF" w:rsidRPr="00020321" w:rsidRDefault="00C753C4" w:rsidP="00671D20">
      <w:pPr>
        <w:ind w:firstLine="708"/>
        <w:jc w:val="both"/>
        <w:rPr>
          <w:rFonts w:ascii="Humanst521 BT" w:hAnsi="Humanst521 BT"/>
          <w:lang w:val="es-ES"/>
        </w:rPr>
      </w:pPr>
      <w:r w:rsidRPr="00020321">
        <w:rPr>
          <w:rFonts w:ascii="Humanst521 BT" w:hAnsi="Humanst521 BT"/>
          <w:lang w:val="es-ES"/>
        </w:rPr>
        <w:t xml:space="preserve">Sin otro asunto en particular, me despido de usted con un cordial saludo, agradeciendo de antemano el envío del </w:t>
      </w:r>
      <w:r w:rsidRPr="00020321">
        <w:rPr>
          <w:rFonts w:ascii="Humanst521 BT" w:hAnsi="Humanst521 BT"/>
          <w:b/>
          <w:bCs/>
          <w:lang w:val="es-ES"/>
        </w:rPr>
        <w:t>acuse de recibo</w:t>
      </w:r>
      <w:r w:rsidRPr="00020321">
        <w:rPr>
          <w:rFonts w:ascii="Humanst521 BT" w:hAnsi="Humanst521 BT"/>
          <w:lang w:val="es-ES"/>
        </w:rPr>
        <w:t xml:space="preserve"> respectivo.</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b/>
          <w:bCs/>
          <w:lang w:val="es-ES"/>
        </w:rPr>
        <w:t>A T E N T A M E N T E</w:t>
      </w:r>
    </w:p>
    <w:p w:rsidR="00C753C4" w:rsidRPr="00020321" w:rsidRDefault="00C753C4" w:rsidP="000A051F">
      <w:pPr>
        <w:spacing w:line="240" w:lineRule="auto"/>
        <w:jc w:val="center"/>
        <w:rPr>
          <w:rFonts w:ascii="Humanst521 BT" w:hAnsi="Humanst521 BT"/>
          <w:lang w:val="es-ES"/>
        </w:rPr>
      </w:pPr>
      <w:r w:rsidRPr="00020321">
        <w:rPr>
          <w:rFonts w:ascii="Humanst521 BT" w:hAnsi="Humanst521 BT"/>
          <w:lang w:val="es-ES"/>
        </w:rPr>
        <w:t>“Por la Autonomía e Independencia</w:t>
      </w:r>
    </w:p>
    <w:p w:rsidR="00C753C4" w:rsidRPr="00020321" w:rsidRDefault="00C753C4" w:rsidP="000A051F">
      <w:pPr>
        <w:spacing w:line="240" w:lineRule="auto"/>
        <w:jc w:val="center"/>
        <w:rPr>
          <w:rFonts w:ascii="Humanst521 BT" w:hAnsi="Humanst521 BT"/>
          <w:lang w:val="es-ES"/>
        </w:rPr>
      </w:pPr>
      <w:proofErr w:type="gramStart"/>
      <w:r w:rsidRPr="00020321">
        <w:rPr>
          <w:rFonts w:ascii="Humanst521 BT" w:hAnsi="Humanst521 BT"/>
          <w:lang w:val="es-ES"/>
        </w:rPr>
        <w:t>de</w:t>
      </w:r>
      <w:proofErr w:type="gramEnd"/>
      <w:r w:rsidRPr="00020321">
        <w:rPr>
          <w:rFonts w:ascii="Humanst521 BT" w:hAnsi="Humanst521 BT"/>
          <w:lang w:val="es-ES"/>
        </w:rPr>
        <w:t xml:space="preserve"> los Organismos Electorales”</w:t>
      </w:r>
    </w:p>
    <w:p w:rsidR="00C753C4" w:rsidRDefault="00C753C4" w:rsidP="000A051F">
      <w:pPr>
        <w:spacing w:line="240" w:lineRule="auto"/>
        <w:jc w:val="center"/>
        <w:rPr>
          <w:rFonts w:ascii="Humanst521 BT" w:hAnsi="Humanst521 BT"/>
          <w:b/>
          <w:lang w:val="es-ES"/>
        </w:rPr>
      </w:pPr>
      <w:r w:rsidRPr="00020321">
        <w:rPr>
          <w:rFonts w:ascii="Humanst521 BT" w:hAnsi="Humanst521 BT"/>
          <w:b/>
          <w:lang w:val="es-ES"/>
        </w:rPr>
        <w:t>LIC. JAVIER CASTRO CONKLEN</w:t>
      </w:r>
    </w:p>
    <w:p w:rsidR="00040B5A" w:rsidRPr="00020321" w:rsidRDefault="00040B5A" w:rsidP="00040B5A">
      <w:pPr>
        <w:spacing w:line="240" w:lineRule="auto"/>
        <w:jc w:val="center"/>
        <w:rPr>
          <w:rFonts w:ascii="Humanst521 BT" w:hAnsi="Humanst521 BT"/>
          <w:b/>
          <w:lang w:val="es-ES"/>
        </w:rPr>
      </w:pPr>
      <w:r>
        <w:rPr>
          <w:rFonts w:ascii="Humanst521 BT" w:hAnsi="Humanst521 BT"/>
          <w:b/>
          <w:lang w:val="es-ES"/>
        </w:rPr>
        <w:t>(Rúbrica y sello)</w:t>
      </w:r>
    </w:p>
    <w:p w:rsidR="005E5610" w:rsidRPr="00020321" w:rsidRDefault="00C753C4" w:rsidP="000A051F">
      <w:pPr>
        <w:spacing w:line="240" w:lineRule="auto"/>
        <w:jc w:val="center"/>
        <w:rPr>
          <w:rFonts w:ascii="Humanst521 BT" w:hAnsi="Humanst521 BT"/>
          <w:color w:val="1F497D"/>
          <w:lang w:val="es-ES"/>
        </w:rPr>
      </w:pPr>
      <w:r w:rsidRPr="00020321">
        <w:rPr>
          <w:rFonts w:ascii="Humanst521 BT" w:hAnsi="Humanst521 BT"/>
          <w:b/>
          <w:bCs/>
          <w:lang w:val="es-ES"/>
        </w:rPr>
        <w:t>TITULAR DE LA UNIDAD DE TRANSPARENCIA</w:t>
      </w:r>
    </w:p>
    <w:sectPr w:rsidR="005E5610" w:rsidRPr="00020321"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4226"/>
    <w:rsid w:val="00040B5A"/>
    <w:rsid w:val="00047366"/>
    <w:rsid w:val="0005260F"/>
    <w:rsid w:val="00095A54"/>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51FC7"/>
    <w:rsid w:val="002544CF"/>
    <w:rsid w:val="00254B59"/>
    <w:rsid w:val="002566D7"/>
    <w:rsid w:val="00257215"/>
    <w:rsid w:val="00265FC2"/>
    <w:rsid w:val="00267315"/>
    <w:rsid w:val="00267B91"/>
    <w:rsid w:val="0027090E"/>
    <w:rsid w:val="00284F59"/>
    <w:rsid w:val="00290A36"/>
    <w:rsid w:val="00295FEC"/>
    <w:rsid w:val="002B2070"/>
    <w:rsid w:val="002B515D"/>
    <w:rsid w:val="002C01D7"/>
    <w:rsid w:val="002C7899"/>
    <w:rsid w:val="002D14D9"/>
    <w:rsid w:val="002E1A80"/>
    <w:rsid w:val="003066D8"/>
    <w:rsid w:val="0033016E"/>
    <w:rsid w:val="00331037"/>
    <w:rsid w:val="0033477F"/>
    <w:rsid w:val="00361B3E"/>
    <w:rsid w:val="00380725"/>
    <w:rsid w:val="0038461D"/>
    <w:rsid w:val="003903A2"/>
    <w:rsid w:val="003C7A61"/>
    <w:rsid w:val="003D0DC5"/>
    <w:rsid w:val="00400F15"/>
    <w:rsid w:val="00401DCA"/>
    <w:rsid w:val="004046DC"/>
    <w:rsid w:val="00406041"/>
    <w:rsid w:val="0042675E"/>
    <w:rsid w:val="00447698"/>
    <w:rsid w:val="0044776B"/>
    <w:rsid w:val="004659C1"/>
    <w:rsid w:val="00482017"/>
    <w:rsid w:val="004969BB"/>
    <w:rsid w:val="004A7BD1"/>
    <w:rsid w:val="004B5035"/>
    <w:rsid w:val="004D734E"/>
    <w:rsid w:val="004E213A"/>
    <w:rsid w:val="004E7C34"/>
    <w:rsid w:val="004F023F"/>
    <w:rsid w:val="004F23F5"/>
    <w:rsid w:val="004F27B9"/>
    <w:rsid w:val="0050090A"/>
    <w:rsid w:val="0050406D"/>
    <w:rsid w:val="00523C92"/>
    <w:rsid w:val="00526097"/>
    <w:rsid w:val="00543E4F"/>
    <w:rsid w:val="00543EE1"/>
    <w:rsid w:val="00547EC6"/>
    <w:rsid w:val="005536C2"/>
    <w:rsid w:val="00571D79"/>
    <w:rsid w:val="005802F4"/>
    <w:rsid w:val="00591A0B"/>
    <w:rsid w:val="00591A98"/>
    <w:rsid w:val="00593295"/>
    <w:rsid w:val="005946FB"/>
    <w:rsid w:val="00597201"/>
    <w:rsid w:val="005A202A"/>
    <w:rsid w:val="005A4927"/>
    <w:rsid w:val="005E22AF"/>
    <w:rsid w:val="005E5610"/>
    <w:rsid w:val="00603273"/>
    <w:rsid w:val="00603DC7"/>
    <w:rsid w:val="00610CCF"/>
    <w:rsid w:val="00620914"/>
    <w:rsid w:val="006259AF"/>
    <w:rsid w:val="00641114"/>
    <w:rsid w:val="00671D20"/>
    <w:rsid w:val="00671E83"/>
    <w:rsid w:val="006812A9"/>
    <w:rsid w:val="00685D3C"/>
    <w:rsid w:val="0069078F"/>
    <w:rsid w:val="00696BA3"/>
    <w:rsid w:val="006A1BEB"/>
    <w:rsid w:val="006D1F71"/>
    <w:rsid w:val="006D3EF2"/>
    <w:rsid w:val="006F093F"/>
    <w:rsid w:val="006F24B9"/>
    <w:rsid w:val="006F449A"/>
    <w:rsid w:val="007016D6"/>
    <w:rsid w:val="00724615"/>
    <w:rsid w:val="00724E9D"/>
    <w:rsid w:val="007374CC"/>
    <w:rsid w:val="00743787"/>
    <w:rsid w:val="007674D1"/>
    <w:rsid w:val="00784F2A"/>
    <w:rsid w:val="0079008B"/>
    <w:rsid w:val="00797CB3"/>
    <w:rsid w:val="007A1722"/>
    <w:rsid w:val="007A1BA3"/>
    <w:rsid w:val="007A7C13"/>
    <w:rsid w:val="007A7F67"/>
    <w:rsid w:val="007B18D6"/>
    <w:rsid w:val="007B450D"/>
    <w:rsid w:val="007D1432"/>
    <w:rsid w:val="007E6168"/>
    <w:rsid w:val="007F0C4A"/>
    <w:rsid w:val="008037BE"/>
    <w:rsid w:val="00816C46"/>
    <w:rsid w:val="008173E1"/>
    <w:rsid w:val="0083005D"/>
    <w:rsid w:val="008311C2"/>
    <w:rsid w:val="00834614"/>
    <w:rsid w:val="00866745"/>
    <w:rsid w:val="008A29FD"/>
    <w:rsid w:val="008F044B"/>
    <w:rsid w:val="0091445D"/>
    <w:rsid w:val="009335B1"/>
    <w:rsid w:val="00935137"/>
    <w:rsid w:val="009428C8"/>
    <w:rsid w:val="00944746"/>
    <w:rsid w:val="00945C7F"/>
    <w:rsid w:val="00946F5C"/>
    <w:rsid w:val="00962998"/>
    <w:rsid w:val="0096426F"/>
    <w:rsid w:val="009717E1"/>
    <w:rsid w:val="00993901"/>
    <w:rsid w:val="009970F3"/>
    <w:rsid w:val="009B44AA"/>
    <w:rsid w:val="009C120C"/>
    <w:rsid w:val="009C2DB7"/>
    <w:rsid w:val="009C3182"/>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01CA"/>
    <w:rsid w:val="00B52054"/>
    <w:rsid w:val="00B52C36"/>
    <w:rsid w:val="00B76AE1"/>
    <w:rsid w:val="00B841B8"/>
    <w:rsid w:val="00BB0C6B"/>
    <w:rsid w:val="00BC1DAE"/>
    <w:rsid w:val="00BD3B43"/>
    <w:rsid w:val="00BD3FCD"/>
    <w:rsid w:val="00BE1758"/>
    <w:rsid w:val="00C006ED"/>
    <w:rsid w:val="00C04CC8"/>
    <w:rsid w:val="00C06907"/>
    <w:rsid w:val="00C06BA5"/>
    <w:rsid w:val="00C111F8"/>
    <w:rsid w:val="00C25F77"/>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2033C"/>
    <w:rsid w:val="00D33F98"/>
    <w:rsid w:val="00D64099"/>
    <w:rsid w:val="00D741AA"/>
    <w:rsid w:val="00D75EF0"/>
    <w:rsid w:val="00D83F36"/>
    <w:rsid w:val="00D87569"/>
    <w:rsid w:val="00D95C57"/>
    <w:rsid w:val="00DC13DA"/>
    <w:rsid w:val="00DC43CC"/>
    <w:rsid w:val="00DE2405"/>
    <w:rsid w:val="00DE5C09"/>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F12819"/>
    <w:rsid w:val="00F277E9"/>
    <w:rsid w:val="00F42398"/>
    <w:rsid w:val="00F47A93"/>
    <w:rsid w:val="00F5013A"/>
    <w:rsid w:val="00F651D1"/>
    <w:rsid w:val="00F724E1"/>
    <w:rsid w:val="00F9317C"/>
    <w:rsid w:val="00FA107F"/>
    <w:rsid w:val="00FA7072"/>
    <w:rsid w:val="00FB0F40"/>
    <w:rsid w:val="00FC22F7"/>
    <w:rsid w:val="00FC466C"/>
    <w:rsid w:val="00FC6490"/>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33645344">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aipbc.org.mx/index.php/accesoalainformacionpublica/interponerrecursode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pcbc.org.mx/padron.php" TargetMode="External"/><Relationship Id="rId5" Type="http://schemas.openxmlformats.org/officeDocument/2006/relationships/hyperlink" Target="http://iepcbc.org.mx/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1102</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59</cp:revision>
  <cp:lastPrinted>2013-12-20T22:17:00Z</cp:lastPrinted>
  <dcterms:created xsi:type="dcterms:W3CDTF">2013-01-29T03:28:00Z</dcterms:created>
  <dcterms:modified xsi:type="dcterms:W3CDTF">2014-03-11T17:51:00Z</dcterms:modified>
</cp:coreProperties>
</file>