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DB" w:rsidRPr="00936E5C" w:rsidRDefault="00DA73DB" w:rsidP="00936E5C">
      <w:pPr>
        <w:pStyle w:val="Textosinformato"/>
        <w:jc w:val="both"/>
        <w:rPr>
          <w:rFonts w:ascii="Humanst521 BT" w:hAnsi="Humanst521 BT"/>
          <w:b/>
          <w:lang w:val="es-MX"/>
        </w:rPr>
      </w:pPr>
      <w:r w:rsidRPr="00936E5C">
        <w:rPr>
          <w:rFonts w:ascii="Humanst521 BT" w:hAnsi="Humanst521 BT"/>
          <w:b/>
          <w:lang w:val="es-MX"/>
        </w:rPr>
        <w:t>Preguntas para los portales de transparencia</w:t>
      </w:r>
    </w:p>
    <w:p w:rsidR="00DA73DB" w:rsidRPr="00936E5C" w:rsidRDefault="00DA73DB" w:rsidP="00936E5C">
      <w:pPr>
        <w:pStyle w:val="Textosinformato"/>
        <w:jc w:val="both"/>
        <w:rPr>
          <w:rFonts w:ascii="Humanst521 BT" w:hAnsi="Humanst521 BT"/>
          <w:lang w:val="es-MX"/>
        </w:rPr>
      </w:pPr>
    </w:p>
    <w:p w:rsidR="00DA73DB" w:rsidRPr="00936E5C" w:rsidRDefault="00DA73DB" w:rsidP="00936E5C">
      <w:pPr>
        <w:pStyle w:val="Textosinformato"/>
        <w:jc w:val="both"/>
        <w:rPr>
          <w:rFonts w:ascii="Humanst521 BT" w:hAnsi="Humanst521 BT"/>
          <w:b/>
          <w:i/>
          <w:lang w:val="es-MX"/>
        </w:rPr>
      </w:pPr>
      <w:r w:rsidRPr="00936E5C">
        <w:rPr>
          <w:rFonts w:ascii="Humanst521 BT" w:hAnsi="Humanst521 BT"/>
          <w:lang w:val="es-MX"/>
        </w:rPr>
        <w:t>1</w:t>
      </w:r>
      <w:r w:rsidRPr="00936E5C">
        <w:rPr>
          <w:rFonts w:ascii="Humanst521 BT" w:hAnsi="Humanst521 BT"/>
          <w:i/>
          <w:lang w:val="es-MX"/>
        </w:rPr>
        <w:t>.</w:t>
      </w:r>
      <w:r w:rsidRPr="00936E5C">
        <w:rPr>
          <w:rFonts w:ascii="Humanst521 BT" w:hAnsi="Humanst521 BT"/>
          <w:i/>
          <w:lang w:val="es-MX"/>
        </w:rPr>
        <w:tab/>
      </w:r>
      <w:r w:rsidRPr="00936E5C">
        <w:rPr>
          <w:rFonts w:ascii="Humanst521 BT" w:hAnsi="Humanst521 BT"/>
          <w:b/>
          <w:i/>
          <w:lang w:val="es-MX"/>
        </w:rPr>
        <w:t>¿Cuándo fue creada la unidad de transparencia o bien el área especializada en transparencia?</w:t>
      </w:r>
    </w:p>
    <w:p w:rsidR="00D05345" w:rsidRPr="00936E5C" w:rsidRDefault="00D05345" w:rsidP="00936E5C">
      <w:pPr>
        <w:pStyle w:val="Textosinformato"/>
        <w:jc w:val="both"/>
        <w:rPr>
          <w:rFonts w:ascii="Humanst521 BT" w:hAnsi="Humanst521 BT"/>
          <w:lang w:val="es-MX"/>
        </w:rPr>
      </w:pPr>
    </w:p>
    <w:p w:rsidR="00D05345" w:rsidRPr="00743CC0" w:rsidRDefault="00743CC0" w:rsidP="00936E5C">
      <w:pPr>
        <w:pStyle w:val="Textosinformato"/>
        <w:jc w:val="both"/>
        <w:rPr>
          <w:rFonts w:ascii="Humanst521 BT" w:hAnsi="Humanst521 BT"/>
          <w:lang w:val="es-MX"/>
        </w:rPr>
      </w:pPr>
      <w:r w:rsidRPr="00743CC0">
        <w:rPr>
          <w:rFonts w:ascii="Humanst521 BT" w:hAnsi="Humanst521 BT"/>
          <w:lang w:val="es-MX"/>
        </w:rPr>
        <w:t>El día 31 de marzo de 2011, en presencia de funcionarios del Instituto Electoral y representantes de los Partidos Políticos se presentó el Centro de Información y Documentación Electoral, espacio físico de la Unidad de Transparencia del Instituto Electoral, espacio que permite brindar la asesoría necesaria a la ciudadanía en el ejercicio de su derecho de accesar a la información pública que genere, administre o se encuentre en poder del Instituto y fomentar e impulsar entre la ciudadanía la cultura de la transparencia y acceso a la información.</w:t>
      </w:r>
    </w:p>
    <w:p w:rsidR="00743CC0" w:rsidRPr="00743CC0" w:rsidRDefault="00743CC0" w:rsidP="00936E5C">
      <w:pPr>
        <w:pStyle w:val="Textosinformato"/>
        <w:jc w:val="both"/>
        <w:rPr>
          <w:rFonts w:ascii="Humanst521 BT" w:hAnsi="Humanst521 BT"/>
          <w:lang w:val="es-MX"/>
        </w:rPr>
      </w:pPr>
    </w:p>
    <w:p w:rsidR="00936E5C" w:rsidRPr="00936E5C" w:rsidRDefault="00DA73DB" w:rsidP="00936E5C">
      <w:pPr>
        <w:pStyle w:val="Textosinformato"/>
        <w:jc w:val="both"/>
        <w:rPr>
          <w:rFonts w:ascii="Humanst521 BT" w:hAnsi="Humanst521 BT"/>
          <w:b/>
          <w:lang w:val="es-MX"/>
        </w:rPr>
      </w:pPr>
      <w:r w:rsidRPr="00936E5C">
        <w:rPr>
          <w:rFonts w:ascii="Humanst521 BT" w:hAnsi="Humanst521 BT"/>
          <w:i/>
          <w:lang w:val="es-MX"/>
        </w:rPr>
        <w:t>2.</w:t>
      </w:r>
      <w:r w:rsidRPr="00936E5C">
        <w:rPr>
          <w:rFonts w:ascii="Humanst521 BT" w:hAnsi="Humanst521 BT"/>
          <w:i/>
          <w:lang w:val="es-MX"/>
        </w:rPr>
        <w:tab/>
      </w:r>
      <w:r w:rsidRPr="00936E5C">
        <w:rPr>
          <w:rFonts w:ascii="Humanst521 BT" w:hAnsi="Humanst521 BT"/>
          <w:b/>
          <w:i/>
          <w:lang w:val="es-MX"/>
        </w:rPr>
        <w:t>Al crearse el área de transparencia ¿el personal fue de nuevo ingreso o procedía de otra área del</w:t>
      </w:r>
      <w:r w:rsidRPr="00936E5C">
        <w:rPr>
          <w:rFonts w:ascii="Humanst521 BT" w:hAnsi="Humanst521 BT"/>
          <w:b/>
          <w:lang w:val="es-MX"/>
        </w:rPr>
        <w:t xml:space="preserve"> instituto?</w:t>
      </w:r>
    </w:p>
    <w:p w:rsidR="00936E5C" w:rsidRDefault="00936E5C" w:rsidP="00936E5C">
      <w:pPr>
        <w:pStyle w:val="Textosinformato"/>
        <w:jc w:val="both"/>
        <w:rPr>
          <w:rFonts w:ascii="Humanst521 BT" w:hAnsi="Humanst521 BT"/>
          <w:lang w:val="es-MX"/>
        </w:rPr>
      </w:pPr>
      <w:r>
        <w:rPr>
          <w:rFonts w:ascii="Humanst521 BT" w:hAnsi="Humanst521 BT"/>
          <w:lang w:val="es-MX"/>
        </w:rPr>
        <w:t>El personal procedía de otra área del instituto.</w:t>
      </w:r>
    </w:p>
    <w:p w:rsidR="00936E5C" w:rsidRPr="00936E5C" w:rsidRDefault="00936E5C" w:rsidP="00936E5C">
      <w:pPr>
        <w:pStyle w:val="Textosinformato"/>
        <w:jc w:val="both"/>
        <w:rPr>
          <w:rFonts w:ascii="Humanst521 BT" w:hAnsi="Humanst521 BT"/>
          <w:lang w:val="es-MX"/>
        </w:rPr>
      </w:pPr>
    </w:p>
    <w:p w:rsidR="00DA73DB" w:rsidRDefault="00DA73DB" w:rsidP="00936E5C">
      <w:pPr>
        <w:pStyle w:val="Textosinformato"/>
        <w:jc w:val="both"/>
        <w:rPr>
          <w:rFonts w:ascii="Humanst521 BT" w:hAnsi="Humanst521 BT"/>
          <w:i/>
          <w:lang w:val="es-MX"/>
        </w:rPr>
      </w:pPr>
      <w:r w:rsidRPr="00936E5C">
        <w:rPr>
          <w:rFonts w:ascii="Humanst521 BT" w:hAnsi="Humanst521 BT"/>
          <w:i/>
          <w:lang w:val="es-MX"/>
        </w:rPr>
        <w:t>3.</w:t>
      </w:r>
      <w:r w:rsidRPr="00936E5C">
        <w:rPr>
          <w:rFonts w:ascii="Humanst521 BT" w:hAnsi="Humanst521 BT"/>
          <w:i/>
          <w:lang w:val="es-MX"/>
        </w:rPr>
        <w:tab/>
      </w:r>
      <w:r w:rsidRPr="00936E5C">
        <w:rPr>
          <w:rFonts w:ascii="Humanst521 BT" w:hAnsi="Humanst521 BT"/>
          <w:b/>
          <w:i/>
          <w:lang w:val="es-MX"/>
        </w:rPr>
        <w:t>¿Cuál es el número de personal que atiende el tema de transparencia y acceso a la información en la institución?</w:t>
      </w:r>
    </w:p>
    <w:p w:rsidR="00936E5C" w:rsidRPr="00936E5C" w:rsidRDefault="00936E5C" w:rsidP="00936E5C">
      <w:pPr>
        <w:pStyle w:val="Textosinformato"/>
        <w:jc w:val="both"/>
        <w:rPr>
          <w:rFonts w:ascii="Humanst521 BT" w:hAnsi="Humanst521 BT"/>
          <w:lang w:val="es-MX"/>
        </w:rPr>
      </w:pPr>
      <w:r w:rsidRPr="00936E5C">
        <w:rPr>
          <w:rFonts w:ascii="Humanst521 BT" w:hAnsi="Humanst521 BT"/>
          <w:lang w:val="es-MX"/>
        </w:rPr>
        <w:t>Al frente de la Unidad de Transparencia se encuentra el Titular de la Unidad y el Auxiliar de la Unidad de Transparencia (asesor jurídico).</w:t>
      </w:r>
    </w:p>
    <w:p w:rsidR="00936E5C" w:rsidRPr="00936E5C" w:rsidRDefault="00936E5C" w:rsidP="00936E5C">
      <w:pPr>
        <w:pStyle w:val="Textosinformato"/>
        <w:jc w:val="both"/>
        <w:rPr>
          <w:rFonts w:ascii="Humanst521 BT" w:hAnsi="Humanst521 BT"/>
          <w:i/>
          <w:lang w:val="es-MX"/>
        </w:rPr>
      </w:pPr>
    </w:p>
    <w:p w:rsidR="00936E5C" w:rsidRPr="00936E5C" w:rsidRDefault="00DA73DB" w:rsidP="00936E5C">
      <w:pPr>
        <w:pStyle w:val="Textosinformato"/>
        <w:jc w:val="both"/>
        <w:rPr>
          <w:rFonts w:ascii="Humanst521 BT" w:hAnsi="Humanst521 BT"/>
          <w:lang w:val="es-MX"/>
        </w:rPr>
      </w:pPr>
      <w:r w:rsidRPr="00936E5C">
        <w:rPr>
          <w:rFonts w:ascii="Humanst521 BT" w:hAnsi="Humanst521 BT"/>
          <w:i/>
          <w:lang w:val="es-MX"/>
        </w:rPr>
        <w:t>4.</w:t>
      </w:r>
      <w:r w:rsidRPr="00936E5C">
        <w:rPr>
          <w:rFonts w:ascii="Humanst521 BT" w:hAnsi="Humanst521 BT"/>
          <w:i/>
          <w:lang w:val="es-MX"/>
        </w:rPr>
        <w:tab/>
      </w:r>
      <w:r w:rsidRPr="00936E5C">
        <w:rPr>
          <w:rFonts w:ascii="Humanst521 BT" w:hAnsi="Humanst521 BT"/>
          <w:b/>
          <w:i/>
          <w:lang w:val="es-MX"/>
        </w:rPr>
        <w:t>¿Cuál es el perfil académico del titular o responsable del área de transparencia?</w:t>
      </w:r>
    </w:p>
    <w:p w:rsidR="00936E5C" w:rsidRDefault="00936E5C" w:rsidP="00936E5C">
      <w:pPr>
        <w:pStyle w:val="Textosinformato"/>
        <w:jc w:val="both"/>
        <w:rPr>
          <w:rFonts w:ascii="Humanst521 BT" w:hAnsi="Humanst521 BT"/>
          <w:lang w:val="es-MX"/>
        </w:rPr>
      </w:pPr>
      <w:r w:rsidRPr="00936E5C">
        <w:rPr>
          <w:rFonts w:ascii="Humanst521 BT" w:hAnsi="Humanst521 BT"/>
          <w:lang w:val="es-MX"/>
        </w:rPr>
        <w:t>El titular de la Unidad de Transparencia</w:t>
      </w:r>
      <w:r>
        <w:rPr>
          <w:rFonts w:ascii="Humanst521 BT" w:hAnsi="Humanst521 BT"/>
          <w:lang w:val="es-MX"/>
        </w:rPr>
        <w:t xml:space="preserve"> y su</w:t>
      </w:r>
      <w:r w:rsidRPr="00936E5C">
        <w:rPr>
          <w:rFonts w:ascii="Humanst521 BT" w:hAnsi="Humanst521 BT"/>
          <w:lang w:val="es-MX"/>
        </w:rPr>
        <w:t xml:space="preserve"> auxiliar son licenciados en Derecho.</w:t>
      </w:r>
    </w:p>
    <w:p w:rsidR="00936E5C" w:rsidRPr="00936E5C" w:rsidRDefault="00936E5C" w:rsidP="00936E5C">
      <w:pPr>
        <w:pStyle w:val="Textosinformato"/>
        <w:jc w:val="both"/>
        <w:rPr>
          <w:rFonts w:ascii="Humanst521 BT" w:hAnsi="Humanst521 BT"/>
          <w:lang w:val="es-MX"/>
        </w:rPr>
      </w:pPr>
    </w:p>
    <w:p w:rsidR="004F1AFE" w:rsidRDefault="00DA73DB" w:rsidP="00936E5C">
      <w:pPr>
        <w:pStyle w:val="Textosinformato"/>
        <w:jc w:val="both"/>
        <w:rPr>
          <w:rFonts w:ascii="Humanst521 BT" w:hAnsi="Humanst521 BT"/>
          <w:b/>
          <w:i/>
          <w:lang w:val="es-MX"/>
        </w:rPr>
      </w:pPr>
      <w:r w:rsidRPr="00936E5C">
        <w:rPr>
          <w:rFonts w:ascii="Humanst521 BT" w:hAnsi="Humanst521 BT"/>
          <w:b/>
          <w:i/>
          <w:lang w:val="es-MX"/>
        </w:rPr>
        <w:t>5.</w:t>
      </w:r>
      <w:r w:rsidRPr="00936E5C">
        <w:rPr>
          <w:rFonts w:ascii="Humanst521 BT" w:hAnsi="Humanst521 BT"/>
          <w:b/>
          <w:i/>
          <w:lang w:val="es-MX"/>
        </w:rPr>
        <w:tab/>
        <w:t>¿Quién o quiénes designan al titular o responsable de la unidad de transparencia?</w:t>
      </w:r>
    </w:p>
    <w:p w:rsidR="004F1AFE" w:rsidRPr="00936E5C" w:rsidRDefault="004F1AFE" w:rsidP="004F1AFE">
      <w:pPr>
        <w:pStyle w:val="Textosinformato"/>
        <w:jc w:val="both"/>
        <w:rPr>
          <w:rFonts w:ascii="Humanst521 BT" w:hAnsi="Humanst521 BT"/>
          <w:lang w:val="es-MX"/>
        </w:rPr>
      </w:pPr>
      <w:r>
        <w:rPr>
          <w:rFonts w:ascii="Humanst521 BT" w:hAnsi="Humanst521 BT"/>
          <w:lang w:val="es-MX"/>
        </w:rPr>
        <w:t>Con</w:t>
      </w:r>
      <w:r w:rsidRPr="004F1AFE">
        <w:rPr>
          <w:rFonts w:ascii="Humanst521 BT" w:hAnsi="Humanst521 BT"/>
          <w:lang w:val="es-MX"/>
        </w:rPr>
        <w:t xml:space="preserve"> base al artículo 33 del </w:t>
      </w:r>
      <w:r>
        <w:rPr>
          <w:rFonts w:ascii="Humanst521 BT" w:hAnsi="Humanst521 BT"/>
          <w:lang w:val="es-MX"/>
        </w:rPr>
        <w:t>Reglamento de Transparencia y Acceso a la Información Pública del Instituto Electoral y de Participación Ciudadana del Estado de Baja California, establece que la Unidad de Transparencia estará a cargo de la persona que se desempeñe como Secretario Fedatario del Consejo General Electoral, que será su titular, mismo que es designado por el Consejo General Electoral</w:t>
      </w:r>
      <w:r w:rsidR="008E7051">
        <w:rPr>
          <w:rFonts w:ascii="Humanst521 BT" w:hAnsi="Humanst521 BT"/>
          <w:lang w:val="es-MX"/>
        </w:rPr>
        <w:t>.</w:t>
      </w:r>
    </w:p>
    <w:p w:rsidR="00936E5C" w:rsidRPr="004F1AFE" w:rsidRDefault="00936E5C" w:rsidP="00936E5C">
      <w:pPr>
        <w:pStyle w:val="Textosinformato"/>
        <w:jc w:val="both"/>
        <w:rPr>
          <w:rFonts w:ascii="Humanst521 BT" w:hAnsi="Humanst521 BT"/>
          <w:lang w:val="es-MX"/>
        </w:rPr>
      </w:pPr>
    </w:p>
    <w:p w:rsidR="00DA73DB" w:rsidRDefault="00DA73DB" w:rsidP="00936E5C">
      <w:pPr>
        <w:pStyle w:val="Textosinformato"/>
        <w:jc w:val="both"/>
        <w:rPr>
          <w:rFonts w:ascii="Humanst521 BT" w:hAnsi="Humanst521 BT"/>
          <w:b/>
          <w:i/>
          <w:lang w:val="es-MX"/>
        </w:rPr>
      </w:pPr>
      <w:r w:rsidRPr="00936E5C">
        <w:rPr>
          <w:rFonts w:ascii="Humanst521 BT" w:hAnsi="Humanst521 BT"/>
          <w:b/>
          <w:i/>
          <w:lang w:val="es-MX"/>
        </w:rPr>
        <w:t>6.</w:t>
      </w:r>
      <w:r w:rsidRPr="00936E5C">
        <w:rPr>
          <w:rFonts w:ascii="Humanst521 BT" w:hAnsi="Humanst521 BT"/>
          <w:b/>
          <w:i/>
          <w:lang w:val="es-MX"/>
        </w:rPr>
        <w:tab/>
        <w:t>¿Cómo es el proceso de reclutamiento del personal que atiende las solicitudes de información?</w:t>
      </w:r>
    </w:p>
    <w:p w:rsidR="004F1AFE" w:rsidRDefault="004F1AFE" w:rsidP="00936E5C">
      <w:pPr>
        <w:pStyle w:val="Textosinformato"/>
        <w:jc w:val="both"/>
        <w:rPr>
          <w:rFonts w:ascii="Humanst521 BT" w:hAnsi="Humanst521 BT"/>
          <w:lang w:val="es-MX"/>
        </w:rPr>
      </w:pPr>
      <w:r>
        <w:rPr>
          <w:rFonts w:ascii="Humanst521 BT" w:hAnsi="Humanst521 BT"/>
          <w:lang w:val="es-MX"/>
        </w:rPr>
        <w:t>Ya se encuentra designado, ya que provino de otras aéreas del Instituto.</w:t>
      </w:r>
    </w:p>
    <w:p w:rsidR="004F1AFE" w:rsidRPr="004F1AFE" w:rsidRDefault="004F1AFE" w:rsidP="00936E5C">
      <w:pPr>
        <w:pStyle w:val="Textosinformato"/>
        <w:jc w:val="both"/>
        <w:rPr>
          <w:rFonts w:ascii="Humanst521 BT" w:hAnsi="Humanst521 BT"/>
          <w:lang w:val="es-MX"/>
        </w:rPr>
      </w:pPr>
    </w:p>
    <w:p w:rsidR="00DA73DB" w:rsidRDefault="00DA73DB" w:rsidP="00936E5C">
      <w:pPr>
        <w:pStyle w:val="Textosinformato"/>
        <w:jc w:val="both"/>
        <w:rPr>
          <w:rFonts w:ascii="Humanst521 BT" w:hAnsi="Humanst521 BT"/>
          <w:b/>
          <w:i/>
          <w:lang w:val="es-MX"/>
        </w:rPr>
      </w:pPr>
      <w:r w:rsidRPr="00936E5C">
        <w:rPr>
          <w:rFonts w:ascii="Humanst521 BT" w:hAnsi="Humanst521 BT"/>
          <w:b/>
          <w:i/>
          <w:lang w:val="es-MX"/>
        </w:rPr>
        <w:t>7.</w:t>
      </w:r>
      <w:r w:rsidRPr="00936E5C">
        <w:rPr>
          <w:rFonts w:ascii="Humanst521 BT" w:hAnsi="Humanst521 BT"/>
          <w:b/>
          <w:i/>
          <w:lang w:val="es-MX"/>
        </w:rPr>
        <w:tab/>
        <w:t>En promedio, ¿cuántas solicitudes de información reciben por año?</w:t>
      </w:r>
    </w:p>
    <w:p w:rsidR="006743F6" w:rsidRPr="006443BD" w:rsidRDefault="006443BD" w:rsidP="00936E5C">
      <w:pPr>
        <w:pStyle w:val="Textosinformato"/>
        <w:jc w:val="both"/>
      </w:pPr>
      <w:r>
        <w:rPr>
          <w:rFonts w:ascii="Humanst521 BT" w:hAnsi="Humanst521 BT"/>
          <w:b/>
          <w:i/>
          <w:lang w:val="es-MX"/>
        </w:rPr>
        <w:t xml:space="preserve"> </w:t>
      </w:r>
    </w:p>
    <w:tbl>
      <w:tblPr>
        <w:tblStyle w:val="Tablaconcuadrcula"/>
        <w:tblW w:w="0" w:type="auto"/>
        <w:jc w:val="center"/>
        <w:tblLook w:val="04A0"/>
      </w:tblPr>
      <w:tblGrid>
        <w:gridCol w:w="3668"/>
        <w:gridCol w:w="3668"/>
      </w:tblGrid>
      <w:tr w:rsidR="006743F6" w:rsidRPr="006743F6" w:rsidTr="006743F6">
        <w:trPr>
          <w:trHeight w:val="264"/>
          <w:jc w:val="center"/>
        </w:trPr>
        <w:tc>
          <w:tcPr>
            <w:tcW w:w="3668" w:type="dxa"/>
          </w:tcPr>
          <w:p w:rsidR="006743F6" w:rsidRPr="006743F6" w:rsidRDefault="006743F6" w:rsidP="006743F6">
            <w:pPr>
              <w:pStyle w:val="Textosinformato"/>
              <w:jc w:val="center"/>
              <w:rPr>
                <w:rFonts w:ascii="Humanst521 BT" w:hAnsi="Humanst521 BT"/>
                <w:b/>
              </w:rPr>
            </w:pPr>
            <w:proofErr w:type="spellStart"/>
            <w:r w:rsidRPr="006743F6">
              <w:rPr>
                <w:rFonts w:ascii="Humanst521 BT" w:hAnsi="Humanst521 BT"/>
                <w:b/>
              </w:rPr>
              <w:t>Año</w:t>
            </w:r>
            <w:proofErr w:type="spellEnd"/>
          </w:p>
        </w:tc>
        <w:tc>
          <w:tcPr>
            <w:tcW w:w="3668" w:type="dxa"/>
          </w:tcPr>
          <w:p w:rsidR="006743F6" w:rsidRPr="006743F6" w:rsidRDefault="006743F6" w:rsidP="006743F6">
            <w:pPr>
              <w:pStyle w:val="Textosinformato"/>
              <w:jc w:val="center"/>
              <w:rPr>
                <w:rFonts w:ascii="Humanst521 BT" w:hAnsi="Humanst521 BT"/>
                <w:b/>
              </w:rPr>
            </w:pPr>
            <w:proofErr w:type="spellStart"/>
            <w:r w:rsidRPr="006743F6">
              <w:rPr>
                <w:rFonts w:ascii="Humanst521 BT" w:hAnsi="Humanst521 BT"/>
                <w:b/>
              </w:rPr>
              <w:t>Número</w:t>
            </w:r>
            <w:proofErr w:type="spellEnd"/>
            <w:r w:rsidRPr="006743F6">
              <w:rPr>
                <w:rFonts w:ascii="Humanst521 BT" w:hAnsi="Humanst521 BT"/>
                <w:b/>
              </w:rPr>
              <w:t xml:space="preserve"> de solicitudes</w:t>
            </w:r>
          </w:p>
        </w:tc>
      </w:tr>
      <w:tr w:rsidR="006743F6" w:rsidRPr="006743F6" w:rsidTr="006743F6">
        <w:trPr>
          <w:trHeight w:val="264"/>
          <w:jc w:val="center"/>
        </w:trPr>
        <w:tc>
          <w:tcPr>
            <w:tcW w:w="3668" w:type="dxa"/>
          </w:tcPr>
          <w:p w:rsidR="006743F6" w:rsidRPr="006743F6" w:rsidRDefault="006743F6" w:rsidP="006743F6">
            <w:pPr>
              <w:pStyle w:val="Textosinformato"/>
              <w:jc w:val="center"/>
              <w:rPr>
                <w:rFonts w:ascii="Humanst521 BT" w:hAnsi="Humanst521 BT"/>
                <w:b/>
              </w:rPr>
            </w:pPr>
            <w:r w:rsidRPr="006743F6">
              <w:rPr>
                <w:rFonts w:ascii="Humanst521 BT" w:hAnsi="Humanst521 BT"/>
                <w:b/>
              </w:rPr>
              <w:t>2010</w:t>
            </w:r>
          </w:p>
        </w:tc>
        <w:tc>
          <w:tcPr>
            <w:tcW w:w="3668" w:type="dxa"/>
          </w:tcPr>
          <w:p w:rsidR="006743F6" w:rsidRPr="00945F6C" w:rsidRDefault="00945F6C" w:rsidP="00945F6C">
            <w:pPr>
              <w:pStyle w:val="Textosinformato"/>
              <w:jc w:val="center"/>
              <w:rPr>
                <w:rFonts w:ascii="Humanst521 BT" w:hAnsi="Humanst521 BT"/>
              </w:rPr>
            </w:pPr>
            <w:r w:rsidRPr="00945F6C">
              <w:rPr>
                <w:rFonts w:ascii="Humanst521 BT" w:hAnsi="Humanst521 BT"/>
              </w:rPr>
              <w:t>77</w:t>
            </w:r>
          </w:p>
        </w:tc>
      </w:tr>
      <w:tr w:rsidR="006743F6" w:rsidRPr="006743F6" w:rsidTr="006743F6">
        <w:trPr>
          <w:trHeight w:val="264"/>
          <w:jc w:val="center"/>
        </w:trPr>
        <w:tc>
          <w:tcPr>
            <w:tcW w:w="3668" w:type="dxa"/>
          </w:tcPr>
          <w:p w:rsidR="006743F6" w:rsidRPr="006743F6" w:rsidRDefault="006743F6" w:rsidP="006743F6">
            <w:pPr>
              <w:pStyle w:val="Textosinformato"/>
              <w:jc w:val="center"/>
              <w:rPr>
                <w:rFonts w:ascii="Humanst521 BT" w:hAnsi="Humanst521 BT"/>
                <w:b/>
              </w:rPr>
            </w:pPr>
            <w:r w:rsidRPr="006743F6">
              <w:rPr>
                <w:rFonts w:ascii="Humanst521 BT" w:hAnsi="Humanst521 BT"/>
                <w:b/>
              </w:rPr>
              <w:t>2011</w:t>
            </w:r>
          </w:p>
        </w:tc>
        <w:tc>
          <w:tcPr>
            <w:tcW w:w="3668" w:type="dxa"/>
          </w:tcPr>
          <w:p w:rsidR="006743F6" w:rsidRPr="00945F6C" w:rsidRDefault="00945F6C" w:rsidP="00945F6C">
            <w:pPr>
              <w:pStyle w:val="Textosinformato"/>
              <w:jc w:val="center"/>
              <w:rPr>
                <w:rFonts w:ascii="Humanst521 BT" w:hAnsi="Humanst521 BT"/>
              </w:rPr>
            </w:pPr>
            <w:r w:rsidRPr="00945F6C">
              <w:rPr>
                <w:rFonts w:ascii="Humanst521 BT" w:hAnsi="Humanst521 BT"/>
              </w:rPr>
              <w:t>81</w:t>
            </w:r>
          </w:p>
        </w:tc>
      </w:tr>
      <w:tr w:rsidR="006743F6" w:rsidRPr="006743F6" w:rsidTr="006743F6">
        <w:trPr>
          <w:trHeight w:val="264"/>
          <w:jc w:val="center"/>
        </w:trPr>
        <w:tc>
          <w:tcPr>
            <w:tcW w:w="3668" w:type="dxa"/>
          </w:tcPr>
          <w:p w:rsidR="006743F6" w:rsidRPr="006743F6" w:rsidRDefault="006743F6" w:rsidP="006743F6">
            <w:pPr>
              <w:pStyle w:val="Textosinformato"/>
              <w:jc w:val="center"/>
              <w:rPr>
                <w:rFonts w:ascii="Humanst521 BT" w:hAnsi="Humanst521 BT"/>
                <w:b/>
              </w:rPr>
            </w:pPr>
            <w:r w:rsidRPr="006743F6">
              <w:rPr>
                <w:rFonts w:ascii="Humanst521 BT" w:hAnsi="Humanst521 BT"/>
                <w:b/>
              </w:rPr>
              <w:t>2012</w:t>
            </w:r>
          </w:p>
        </w:tc>
        <w:tc>
          <w:tcPr>
            <w:tcW w:w="3668" w:type="dxa"/>
          </w:tcPr>
          <w:p w:rsidR="006743F6" w:rsidRPr="00945F6C" w:rsidRDefault="00945F6C" w:rsidP="00945F6C">
            <w:pPr>
              <w:pStyle w:val="Textosinformato"/>
              <w:jc w:val="center"/>
              <w:rPr>
                <w:rFonts w:ascii="Humanst521 BT" w:hAnsi="Humanst521 BT"/>
              </w:rPr>
            </w:pPr>
            <w:r w:rsidRPr="00945F6C">
              <w:rPr>
                <w:rFonts w:ascii="Humanst521 BT" w:hAnsi="Humanst521 BT"/>
              </w:rPr>
              <w:t>251</w:t>
            </w:r>
          </w:p>
        </w:tc>
      </w:tr>
      <w:tr w:rsidR="006743F6" w:rsidRPr="006743F6" w:rsidTr="006743F6">
        <w:trPr>
          <w:trHeight w:val="264"/>
          <w:jc w:val="center"/>
        </w:trPr>
        <w:tc>
          <w:tcPr>
            <w:tcW w:w="3668" w:type="dxa"/>
          </w:tcPr>
          <w:p w:rsidR="006743F6" w:rsidRPr="006743F6" w:rsidRDefault="006743F6" w:rsidP="006743F6">
            <w:pPr>
              <w:pStyle w:val="Textosinformato"/>
              <w:jc w:val="center"/>
              <w:rPr>
                <w:rFonts w:ascii="Humanst521 BT" w:hAnsi="Humanst521 BT"/>
                <w:b/>
              </w:rPr>
            </w:pPr>
            <w:r w:rsidRPr="006743F6">
              <w:rPr>
                <w:rFonts w:ascii="Humanst521 BT" w:hAnsi="Humanst521 BT"/>
                <w:b/>
              </w:rPr>
              <w:t>2013</w:t>
            </w:r>
          </w:p>
        </w:tc>
        <w:tc>
          <w:tcPr>
            <w:tcW w:w="3668" w:type="dxa"/>
          </w:tcPr>
          <w:p w:rsidR="006743F6" w:rsidRPr="00945F6C" w:rsidRDefault="00945F6C" w:rsidP="00945F6C">
            <w:pPr>
              <w:pStyle w:val="Textosinformato"/>
              <w:jc w:val="center"/>
              <w:rPr>
                <w:rFonts w:ascii="Humanst521 BT" w:hAnsi="Humanst521 BT"/>
              </w:rPr>
            </w:pPr>
            <w:r w:rsidRPr="00945F6C">
              <w:rPr>
                <w:rFonts w:ascii="Humanst521 BT" w:hAnsi="Humanst521 BT"/>
              </w:rPr>
              <w:t>645</w:t>
            </w:r>
          </w:p>
        </w:tc>
      </w:tr>
      <w:tr w:rsidR="006743F6" w:rsidRPr="006743F6" w:rsidTr="006743F6">
        <w:trPr>
          <w:trHeight w:val="264"/>
          <w:jc w:val="center"/>
        </w:trPr>
        <w:tc>
          <w:tcPr>
            <w:tcW w:w="3668" w:type="dxa"/>
          </w:tcPr>
          <w:p w:rsidR="006743F6" w:rsidRPr="006743F6" w:rsidRDefault="006743F6" w:rsidP="006743F6">
            <w:pPr>
              <w:pStyle w:val="Textosinformato"/>
              <w:jc w:val="center"/>
              <w:rPr>
                <w:rFonts w:ascii="Humanst521 BT" w:hAnsi="Humanst521 BT"/>
                <w:b/>
              </w:rPr>
            </w:pPr>
            <w:r w:rsidRPr="006743F6">
              <w:rPr>
                <w:rFonts w:ascii="Humanst521 BT" w:hAnsi="Humanst521 BT"/>
                <w:b/>
              </w:rPr>
              <w:t>2014</w:t>
            </w:r>
          </w:p>
        </w:tc>
        <w:tc>
          <w:tcPr>
            <w:tcW w:w="3668" w:type="dxa"/>
          </w:tcPr>
          <w:p w:rsidR="006743F6" w:rsidRPr="00945F6C" w:rsidRDefault="00945F6C" w:rsidP="00945F6C">
            <w:pPr>
              <w:pStyle w:val="Textosinformato"/>
              <w:jc w:val="center"/>
              <w:rPr>
                <w:rFonts w:ascii="Humanst521 BT" w:hAnsi="Humanst521 BT"/>
              </w:rPr>
            </w:pPr>
            <w:r w:rsidRPr="00945F6C">
              <w:rPr>
                <w:rFonts w:ascii="Humanst521 BT" w:hAnsi="Humanst521 BT"/>
              </w:rPr>
              <w:t>138</w:t>
            </w:r>
          </w:p>
        </w:tc>
      </w:tr>
    </w:tbl>
    <w:p w:rsidR="004F1AFE" w:rsidRPr="006443BD" w:rsidRDefault="004F1AFE" w:rsidP="00936E5C">
      <w:pPr>
        <w:pStyle w:val="Textosinformato"/>
        <w:jc w:val="both"/>
      </w:pPr>
    </w:p>
    <w:p w:rsidR="00DA73DB" w:rsidRDefault="00DA73DB" w:rsidP="00936E5C">
      <w:pPr>
        <w:pStyle w:val="Textosinformato"/>
        <w:jc w:val="both"/>
        <w:rPr>
          <w:rFonts w:ascii="Humanst521 BT" w:hAnsi="Humanst521 BT"/>
          <w:b/>
          <w:i/>
          <w:lang w:val="es-MX"/>
        </w:rPr>
      </w:pPr>
      <w:r w:rsidRPr="00936E5C">
        <w:rPr>
          <w:rFonts w:ascii="Humanst521 BT" w:hAnsi="Humanst521 BT"/>
          <w:b/>
          <w:i/>
          <w:lang w:val="es-MX"/>
        </w:rPr>
        <w:t>8.</w:t>
      </w:r>
      <w:r w:rsidRPr="00936E5C">
        <w:rPr>
          <w:rFonts w:ascii="Humanst521 BT" w:hAnsi="Humanst521 BT"/>
          <w:b/>
          <w:i/>
          <w:lang w:val="es-MX"/>
        </w:rPr>
        <w:tab/>
        <w:t>¿Existen sanciones por no responder las peticiones de información?</w:t>
      </w:r>
    </w:p>
    <w:p w:rsidR="00855DD1" w:rsidRDefault="00855DD1" w:rsidP="00936E5C">
      <w:pPr>
        <w:pStyle w:val="Textosinformato"/>
        <w:jc w:val="both"/>
        <w:rPr>
          <w:rFonts w:ascii="Humanst521 BT" w:hAnsi="Humanst521 BT"/>
          <w:b/>
          <w:i/>
          <w:lang w:val="es-MX"/>
        </w:rPr>
      </w:pPr>
    </w:p>
    <w:p w:rsidR="007206F8" w:rsidRPr="008E7051" w:rsidRDefault="008E7051" w:rsidP="00936E5C">
      <w:pPr>
        <w:pStyle w:val="Textosinformato"/>
        <w:jc w:val="both"/>
        <w:rPr>
          <w:rFonts w:ascii="Humanst521 BT" w:hAnsi="Humanst521 BT"/>
          <w:i/>
          <w:lang w:val="es-MX"/>
        </w:rPr>
      </w:pPr>
      <w:r>
        <w:rPr>
          <w:rFonts w:ascii="Humanst521 BT" w:hAnsi="Humanst521 BT"/>
          <w:lang w:val="es-MX"/>
        </w:rPr>
        <w:t>El Artículo 7</w:t>
      </w:r>
      <w:r w:rsidR="00855DD1">
        <w:rPr>
          <w:rFonts w:ascii="Humanst521 BT" w:hAnsi="Humanst521 BT"/>
          <w:lang w:val="es-MX"/>
        </w:rPr>
        <w:t xml:space="preserve"> de la Ley de Transparencia y Acceso a la Información Pública del Estado de Baja California,</w:t>
      </w:r>
      <w:r>
        <w:rPr>
          <w:rFonts w:ascii="Humanst521 BT" w:hAnsi="Humanst521 BT"/>
          <w:lang w:val="es-MX"/>
        </w:rPr>
        <w:t xml:space="preserve"> establece que es procedente el </w:t>
      </w:r>
      <w:r w:rsidRPr="008E7051">
        <w:rPr>
          <w:rFonts w:ascii="Humanst521 BT" w:hAnsi="Humanst521 BT"/>
          <w:b/>
          <w:i/>
          <w:lang w:val="es-MX"/>
        </w:rPr>
        <w:t>Recurso de Revisión</w:t>
      </w:r>
      <w:r>
        <w:rPr>
          <w:rFonts w:ascii="Humanst521 BT" w:hAnsi="Humanst521 BT"/>
          <w:lang w:val="es-MX"/>
        </w:rPr>
        <w:t xml:space="preserve"> si hubiere</w:t>
      </w:r>
      <w:proofErr w:type="gramStart"/>
      <w:r w:rsidRPr="008E7051">
        <w:rPr>
          <w:rFonts w:ascii="Humanst521 BT" w:hAnsi="Humanst521 BT"/>
          <w:i/>
          <w:lang w:val="es-MX"/>
        </w:rPr>
        <w:t>:</w:t>
      </w:r>
      <w:r>
        <w:rPr>
          <w:rFonts w:ascii="Humanst521 BT" w:hAnsi="Humanst521 BT"/>
          <w:i/>
          <w:lang w:val="es-MX"/>
        </w:rPr>
        <w:t xml:space="preserve"> </w:t>
      </w:r>
      <w:r w:rsidRPr="008E7051">
        <w:rPr>
          <w:rFonts w:ascii="Humanst521 BT" w:hAnsi="Humanst521 BT"/>
          <w:i/>
          <w:lang w:val="es-MX"/>
        </w:rPr>
        <w:t xml:space="preserve"> I</w:t>
      </w:r>
      <w:proofErr w:type="gramEnd"/>
      <w:r w:rsidRPr="008E7051">
        <w:rPr>
          <w:rFonts w:ascii="Humanst521 BT" w:hAnsi="Humanst521 BT"/>
          <w:i/>
          <w:lang w:val="es-MX"/>
        </w:rPr>
        <w:t>. La negativa de acceso a la información y VII.- El cumplimiento de la positiva ficta, por la falta de respuesta a una solicitud de acceso dentro de los plazos establecidos en la ley.</w:t>
      </w:r>
    </w:p>
    <w:p w:rsidR="008E7051" w:rsidRPr="00936E5C" w:rsidRDefault="008E7051" w:rsidP="00936E5C">
      <w:pPr>
        <w:pStyle w:val="Textosinformato"/>
        <w:jc w:val="both"/>
        <w:rPr>
          <w:rFonts w:ascii="Humanst521 BT" w:hAnsi="Humanst521 BT"/>
          <w:b/>
          <w:i/>
          <w:lang w:val="es-MX"/>
        </w:rPr>
      </w:pPr>
    </w:p>
    <w:p w:rsidR="00DA73DB" w:rsidRDefault="00DA73DB" w:rsidP="00936E5C">
      <w:pPr>
        <w:pStyle w:val="Textosinformato"/>
        <w:jc w:val="both"/>
        <w:rPr>
          <w:rFonts w:ascii="Humanst521 BT" w:hAnsi="Humanst521 BT"/>
          <w:b/>
          <w:i/>
          <w:lang w:val="es-MX"/>
        </w:rPr>
      </w:pPr>
      <w:r w:rsidRPr="00936E5C">
        <w:rPr>
          <w:rFonts w:ascii="Humanst521 BT" w:hAnsi="Humanst521 BT"/>
          <w:b/>
          <w:i/>
          <w:lang w:val="es-MX"/>
        </w:rPr>
        <w:t>9.</w:t>
      </w:r>
      <w:r w:rsidRPr="00936E5C">
        <w:rPr>
          <w:rFonts w:ascii="Humanst521 BT" w:hAnsi="Humanst521 BT"/>
          <w:b/>
          <w:i/>
          <w:lang w:val="es-MX"/>
        </w:rPr>
        <w:tab/>
        <w:t>¿Han recibido alguna sanción por incumplimiento de entregar información?</w:t>
      </w:r>
    </w:p>
    <w:p w:rsidR="00DA73DB" w:rsidRPr="008E7051" w:rsidRDefault="008E7051" w:rsidP="008E7051">
      <w:pPr>
        <w:pStyle w:val="Textosinformato"/>
        <w:jc w:val="both"/>
        <w:rPr>
          <w:rFonts w:ascii="Humanst521 BT" w:hAnsi="Humanst521 BT"/>
          <w:lang w:val="es-MX"/>
        </w:rPr>
      </w:pPr>
      <w:r w:rsidRPr="008E7051">
        <w:rPr>
          <w:rFonts w:ascii="Humanst521 BT" w:hAnsi="Humanst521 BT"/>
          <w:lang w:val="es-MX"/>
        </w:rPr>
        <w:t>Durante el presente año no se han recibido Recurso</w:t>
      </w:r>
      <w:r>
        <w:rPr>
          <w:rFonts w:ascii="Humanst521 BT" w:hAnsi="Humanst521 BT"/>
          <w:lang w:val="es-MX"/>
        </w:rPr>
        <w:t>s</w:t>
      </w:r>
      <w:r w:rsidRPr="008E7051">
        <w:rPr>
          <w:rFonts w:ascii="Humanst521 BT" w:hAnsi="Humanst521 BT"/>
          <w:lang w:val="es-MX"/>
        </w:rPr>
        <w:t xml:space="preserve"> de Revisión por incumplir en la entrega de la información.</w:t>
      </w:r>
    </w:p>
    <w:sectPr w:rsidR="00DA73DB" w:rsidRPr="008E7051" w:rsidSect="00D8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72A95"/>
    <w:multiLevelType w:val="hybridMultilevel"/>
    <w:tmpl w:val="AE36F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73DB"/>
    <w:rsid w:val="000F5C1A"/>
    <w:rsid w:val="00192226"/>
    <w:rsid w:val="001E2A00"/>
    <w:rsid w:val="0022403B"/>
    <w:rsid w:val="00257E99"/>
    <w:rsid w:val="00482265"/>
    <w:rsid w:val="004F1AFE"/>
    <w:rsid w:val="00602F22"/>
    <w:rsid w:val="006443BD"/>
    <w:rsid w:val="006743F6"/>
    <w:rsid w:val="007206F8"/>
    <w:rsid w:val="00743CC0"/>
    <w:rsid w:val="00745CE5"/>
    <w:rsid w:val="00763A52"/>
    <w:rsid w:val="00855DD1"/>
    <w:rsid w:val="008E7051"/>
    <w:rsid w:val="00936E5C"/>
    <w:rsid w:val="00945F6C"/>
    <w:rsid w:val="00A06A5E"/>
    <w:rsid w:val="00B918AF"/>
    <w:rsid w:val="00BB759E"/>
    <w:rsid w:val="00C16789"/>
    <w:rsid w:val="00C801DE"/>
    <w:rsid w:val="00CE2637"/>
    <w:rsid w:val="00D05345"/>
    <w:rsid w:val="00D8510C"/>
    <w:rsid w:val="00DA09DA"/>
    <w:rsid w:val="00DA73DB"/>
    <w:rsid w:val="00DC25CE"/>
    <w:rsid w:val="00DD7D07"/>
    <w:rsid w:val="00DF7E4F"/>
    <w:rsid w:val="00E05C52"/>
    <w:rsid w:val="00F612B8"/>
    <w:rsid w:val="00FD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10C"/>
    <w:rPr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73DB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DA73DB"/>
    <w:pPr>
      <w:jc w:val="left"/>
    </w:pPr>
    <w:rPr>
      <w:rFonts w:ascii="Consolas" w:hAnsi="Consolas"/>
      <w:sz w:val="21"/>
      <w:szCs w:val="21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A73DB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uiPriority w:val="59"/>
    <w:rsid w:val="006743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 Esquivel</dc:creator>
  <cp:keywords/>
  <dc:description/>
  <cp:lastModifiedBy>Perla Esquivel</cp:lastModifiedBy>
  <cp:revision>4</cp:revision>
  <dcterms:created xsi:type="dcterms:W3CDTF">2015-05-06T22:00:00Z</dcterms:created>
  <dcterms:modified xsi:type="dcterms:W3CDTF">2015-05-08T20:37:00Z</dcterms:modified>
</cp:coreProperties>
</file>