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DA" w:rsidRDefault="005640DA" w:rsidP="005640DA">
      <w:pPr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  <w:r>
        <w:rPr>
          <w:rFonts w:ascii="Humanst521 BT" w:hAnsi="Humanst521 BT"/>
          <w:b/>
          <w:bCs/>
          <w:color w:val="000000"/>
          <w:sz w:val="23"/>
          <w:szCs w:val="23"/>
        </w:rPr>
        <w:t xml:space="preserve">Unidad de Transparencia del Instituto </w:t>
      </w:r>
    </w:p>
    <w:p w:rsidR="005640DA" w:rsidRDefault="005640DA" w:rsidP="005640DA">
      <w:pPr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  <w:r>
        <w:rPr>
          <w:rFonts w:ascii="Humanst521 BT" w:hAnsi="Humanst521 BT"/>
          <w:b/>
          <w:bCs/>
          <w:color w:val="000000"/>
          <w:sz w:val="23"/>
          <w:szCs w:val="23"/>
        </w:rPr>
        <w:t>Estatal Electoral de Baja California</w:t>
      </w:r>
    </w:p>
    <w:p w:rsidR="005640DA" w:rsidRDefault="005640DA" w:rsidP="005640DA">
      <w:pPr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OFICIO No: UTIEPCBC/30</w:t>
      </w:r>
      <w:r w:rsidR="00705CD2">
        <w:rPr>
          <w:rFonts w:ascii="Humanst521 BT" w:hAnsi="Humanst521 BT"/>
          <w:b/>
          <w:bCs/>
          <w:sz w:val="23"/>
          <w:szCs w:val="23"/>
          <w:lang w:val="es-ES"/>
        </w:rPr>
        <w:t>6</w:t>
      </w:r>
      <w:r>
        <w:rPr>
          <w:rFonts w:ascii="Humanst521 BT" w:hAnsi="Humanst521 BT"/>
          <w:b/>
          <w:bCs/>
          <w:sz w:val="23"/>
          <w:szCs w:val="23"/>
          <w:lang w:val="es-ES"/>
        </w:rPr>
        <w:t>/2015</w:t>
      </w:r>
    </w:p>
    <w:p w:rsidR="005640DA" w:rsidRDefault="005640DA" w:rsidP="005640DA">
      <w:pPr>
        <w:jc w:val="right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Mexicali, Baja California, a 20 de octubre de 2015</w:t>
      </w:r>
    </w:p>
    <w:p w:rsidR="005640DA" w:rsidRDefault="005640DA" w:rsidP="005640DA">
      <w:pPr>
        <w:jc w:val="right"/>
        <w:rPr>
          <w:rFonts w:ascii="Humanst521 BT" w:hAnsi="Humanst521 BT"/>
          <w:sz w:val="23"/>
          <w:szCs w:val="23"/>
          <w:lang w:val="es-ES"/>
        </w:rPr>
      </w:pPr>
    </w:p>
    <w:p w:rsidR="005640DA" w:rsidRDefault="00467A63" w:rsidP="005640DA">
      <w:pPr>
        <w:shd w:val="clear" w:color="auto" w:fill="FFFFFF"/>
        <w:spacing w:after="0" w:line="240" w:lineRule="auto"/>
      </w:pPr>
      <w:r>
        <w:rPr>
          <w:rFonts w:ascii="Humanst521 BT" w:hAnsi="Humanst521 BT"/>
          <w:b/>
          <w:bCs/>
          <w:sz w:val="23"/>
          <w:szCs w:val="23"/>
          <w:lang w:val="es-ES"/>
        </w:rPr>
        <w:t xml:space="preserve"> </w:t>
      </w:r>
    </w:p>
    <w:p w:rsidR="005640DA" w:rsidRDefault="005640DA" w:rsidP="005640DA">
      <w:pPr>
        <w:shd w:val="clear" w:color="auto" w:fill="FFFFFF"/>
        <w:spacing w:after="0" w:line="240" w:lineRule="auto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P R E S E N T E.-</w:t>
      </w:r>
    </w:p>
    <w:p w:rsidR="005640DA" w:rsidRDefault="005640DA" w:rsidP="005640DA">
      <w:pPr>
        <w:jc w:val="both"/>
        <w:rPr>
          <w:rFonts w:ascii="Humanst521 BT" w:hAnsi="Humanst521 BT"/>
          <w:sz w:val="23"/>
          <w:szCs w:val="23"/>
        </w:rPr>
      </w:pPr>
    </w:p>
    <w:p w:rsidR="005640DA" w:rsidRDefault="005640DA" w:rsidP="00044141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</w:t>
      </w:r>
      <w:r w:rsidR="00044141">
        <w:rPr>
          <w:rFonts w:ascii="Humanst521 BT" w:hAnsi="Humanst521 BT"/>
          <w:sz w:val="20"/>
          <w:szCs w:val="20"/>
          <w:lang w:val="es-ES"/>
        </w:rPr>
        <w:t>a información recibida el día 1</w:t>
      </w:r>
      <w:r w:rsidR="00705CD2">
        <w:rPr>
          <w:rFonts w:ascii="Humanst521 BT" w:hAnsi="Humanst521 BT"/>
          <w:sz w:val="20"/>
          <w:szCs w:val="20"/>
          <w:lang w:val="es-ES"/>
        </w:rPr>
        <w:t>6</w:t>
      </w:r>
      <w:r>
        <w:rPr>
          <w:rFonts w:ascii="Humanst521 BT" w:hAnsi="Humanst521 BT"/>
          <w:sz w:val="20"/>
          <w:szCs w:val="20"/>
          <w:lang w:val="es-ES"/>
        </w:rPr>
        <w:t xml:space="preserve"> de octubre del año en curso, a la que correspondió el número de </w:t>
      </w:r>
      <w:r>
        <w:rPr>
          <w:rFonts w:ascii="Humanst521 BT" w:hAnsi="Humanst521 BT"/>
          <w:b/>
          <w:bCs/>
          <w:sz w:val="20"/>
          <w:szCs w:val="20"/>
          <w:lang w:val="es-ES"/>
        </w:rPr>
        <w:t>folio 00012</w:t>
      </w:r>
      <w:r w:rsidR="00705CD2">
        <w:rPr>
          <w:rFonts w:ascii="Humanst521 BT" w:hAnsi="Humanst521 BT"/>
          <w:b/>
          <w:bCs/>
          <w:sz w:val="20"/>
          <w:szCs w:val="20"/>
          <w:lang w:val="es-ES"/>
        </w:rPr>
        <w:t>9</w:t>
      </w:r>
      <w:r>
        <w:rPr>
          <w:rFonts w:ascii="Humanst521 BT" w:hAnsi="Humanst521 BT"/>
          <w:sz w:val="20"/>
          <w:szCs w:val="20"/>
          <w:lang w:val="es-ES"/>
        </w:rPr>
        <w:t>, se le informa lo siguiente:</w:t>
      </w:r>
    </w:p>
    <w:p w:rsidR="00044141" w:rsidRDefault="00044141" w:rsidP="00044141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044141" w:rsidRDefault="00044141" w:rsidP="00044141">
      <w:pPr>
        <w:spacing w:after="0" w:line="240" w:lineRule="auto"/>
        <w:jc w:val="both"/>
        <w:rPr>
          <w:rFonts w:ascii="Humanst521 BT" w:hAnsi="Humanst521 BT"/>
          <w:color w:val="000000"/>
          <w:sz w:val="20"/>
          <w:szCs w:val="20"/>
          <w:shd w:val="clear" w:color="auto" w:fill="FFFFFF"/>
        </w:rPr>
      </w:pPr>
      <w:r>
        <w:rPr>
          <w:rFonts w:ascii="Humanst521 BT" w:hAnsi="Humanst521 BT"/>
          <w:color w:val="000000"/>
          <w:sz w:val="20"/>
          <w:szCs w:val="20"/>
          <w:shd w:val="clear" w:color="auto" w:fill="FFFFFF"/>
        </w:rPr>
        <w:t xml:space="preserve">La </w:t>
      </w:r>
      <w:hyperlink r:id="rId4" w:tgtFrame="_blank" w:history="1">
        <w:r>
          <w:rPr>
            <w:rStyle w:val="Textoennegrita"/>
            <w:rFonts w:ascii="Humanst521 BT" w:hAnsi="Humanst521 BT"/>
            <w:color w:val="333333"/>
            <w:sz w:val="20"/>
            <w:szCs w:val="20"/>
            <w:shd w:val="clear" w:color="auto" w:fill="FFFFFF"/>
          </w:rPr>
          <w:t>Suprema Corte</w:t>
        </w:r>
      </w:hyperlink>
      <w:r>
        <w:rPr>
          <w:rStyle w:val="apple-converted-space"/>
          <w:rFonts w:ascii="Humanst521 BT" w:hAnsi="Humanst521 BT"/>
          <w:color w:val="000000"/>
          <w:sz w:val="20"/>
          <w:szCs w:val="20"/>
          <w:shd w:val="clear" w:color="auto" w:fill="FFFFFF"/>
        </w:rPr>
        <w:t> </w:t>
      </w:r>
      <w:r>
        <w:rPr>
          <w:rFonts w:ascii="Humanst521 BT" w:hAnsi="Humanst521 BT"/>
          <w:color w:val="000000"/>
          <w:sz w:val="20"/>
          <w:szCs w:val="20"/>
          <w:shd w:val="clear" w:color="auto" w:fill="FFFFFF"/>
        </w:rPr>
        <w:t>de Justicia de la Nación (SCJN) ordenó a las autoridades electorales de Baja California que los comicios estatales del 2016 se lleven a cabo respetando los 17 distritos electorales ya existentes en dicha entidad federativa.</w:t>
      </w:r>
    </w:p>
    <w:p w:rsidR="00044141" w:rsidRDefault="00044141" w:rsidP="00044141">
      <w:pPr>
        <w:spacing w:after="0" w:line="240" w:lineRule="auto"/>
        <w:jc w:val="both"/>
        <w:rPr>
          <w:rFonts w:ascii="Humanst521 BT" w:hAnsi="Humanst521 BT"/>
          <w:color w:val="000000"/>
          <w:sz w:val="20"/>
          <w:szCs w:val="20"/>
          <w:shd w:val="clear" w:color="auto" w:fill="FFFFFF"/>
        </w:rPr>
      </w:pPr>
      <w:r>
        <w:rPr>
          <w:rFonts w:ascii="Humanst521 BT" w:hAnsi="Humanst521 BT"/>
          <w:color w:val="000000"/>
          <w:sz w:val="20"/>
          <w:szCs w:val="20"/>
        </w:rPr>
        <w:br/>
      </w:r>
      <w:r>
        <w:rPr>
          <w:rFonts w:ascii="Humanst521 BT" w:hAnsi="Humanst521 BT"/>
          <w:color w:val="000000"/>
          <w:sz w:val="20"/>
          <w:szCs w:val="20"/>
          <w:shd w:val="clear" w:color="auto" w:fill="FFFFFF"/>
        </w:rPr>
        <w:t>Por mayoría de votos, el Pleno del Máximo Tribunal invalidó cuatro fracciones normativas y artículos de las leyes electorales</w:t>
      </w:r>
      <w:r>
        <w:rPr>
          <w:rStyle w:val="apple-converted-space"/>
          <w:rFonts w:ascii="Humanst521 BT" w:hAnsi="Humanst521 BT"/>
          <w:color w:val="000000"/>
          <w:sz w:val="20"/>
          <w:szCs w:val="20"/>
          <w:shd w:val="clear" w:color="auto" w:fill="FFFFFF"/>
        </w:rPr>
        <w:t> </w:t>
      </w:r>
      <w:hyperlink r:id="rId5" w:tgtFrame="_blank" w:history="1">
        <w:r>
          <w:rPr>
            <w:rStyle w:val="Textoennegrita"/>
            <w:rFonts w:ascii="Humanst521 BT" w:hAnsi="Humanst521 BT"/>
            <w:color w:val="333333"/>
            <w:sz w:val="20"/>
            <w:szCs w:val="20"/>
            <w:shd w:val="clear" w:color="auto" w:fill="FFFFFF"/>
          </w:rPr>
          <w:t>de Baja California</w:t>
        </w:r>
      </w:hyperlink>
      <w:r>
        <w:rPr>
          <w:rStyle w:val="apple-converted-space"/>
          <w:rFonts w:ascii="Humanst521 BT" w:hAnsi="Humanst521 BT"/>
          <w:color w:val="000000"/>
          <w:sz w:val="20"/>
          <w:szCs w:val="20"/>
          <w:shd w:val="clear" w:color="auto" w:fill="FFFFFF"/>
        </w:rPr>
        <w:t> </w:t>
      </w:r>
      <w:r>
        <w:rPr>
          <w:rFonts w:ascii="Humanst521 BT" w:hAnsi="Humanst521 BT"/>
          <w:color w:val="000000"/>
          <w:sz w:val="20"/>
          <w:szCs w:val="20"/>
          <w:shd w:val="clear" w:color="auto" w:fill="FFFFFF"/>
        </w:rPr>
        <w:t xml:space="preserve">que preveían la </w:t>
      </w:r>
      <w:proofErr w:type="spellStart"/>
      <w:r>
        <w:rPr>
          <w:rFonts w:ascii="Humanst521 BT" w:hAnsi="Humanst521 BT"/>
          <w:color w:val="000000"/>
          <w:sz w:val="20"/>
          <w:szCs w:val="20"/>
          <w:shd w:val="clear" w:color="auto" w:fill="FFFFFF"/>
        </w:rPr>
        <w:t>redistritación</w:t>
      </w:r>
      <w:proofErr w:type="spellEnd"/>
      <w:r>
        <w:rPr>
          <w:rFonts w:ascii="Humanst521 BT" w:hAnsi="Humanst521 BT"/>
          <w:color w:val="000000"/>
          <w:sz w:val="20"/>
          <w:szCs w:val="20"/>
          <w:shd w:val="clear" w:color="auto" w:fill="FFFFFF"/>
        </w:rPr>
        <w:t xml:space="preserve"> de esa entidad federativa para los comicios de gobernador y diputados locales que se van a celebrar el 5 de junio del 2016.</w:t>
      </w:r>
    </w:p>
    <w:p w:rsidR="00044141" w:rsidRDefault="00044141" w:rsidP="00044141">
      <w:pPr>
        <w:spacing w:after="0" w:line="240" w:lineRule="auto"/>
        <w:jc w:val="both"/>
        <w:rPr>
          <w:rFonts w:ascii="Humanst521 BT" w:hAnsi="Humanst521 BT"/>
          <w:color w:val="000000"/>
          <w:sz w:val="20"/>
          <w:szCs w:val="20"/>
          <w:shd w:val="clear" w:color="auto" w:fill="FFFFFF"/>
        </w:rPr>
      </w:pPr>
      <w:r>
        <w:rPr>
          <w:rFonts w:ascii="Humanst521 BT" w:hAnsi="Humanst521 BT"/>
          <w:color w:val="000000"/>
          <w:sz w:val="20"/>
          <w:szCs w:val="20"/>
        </w:rPr>
        <w:br/>
      </w:r>
      <w:r>
        <w:rPr>
          <w:rFonts w:ascii="Humanst521 BT" w:hAnsi="Humanst521 BT"/>
          <w:color w:val="000000"/>
          <w:sz w:val="20"/>
          <w:szCs w:val="20"/>
          <w:shd w:val="clear" w:color="auto" w:fill="FFFFFF"/>
        </w:rPr>
        <w:t>Por lo cual, puede consultar la cartografía vigente y utilizada en el Proceso Electoral 2013 en la siguiente liga:</w:t>
      </w:r>
    </w:p>
    <w:p w:rsidR="00044141" w:rsidRDefault="00044141" w:rsidP="00044141">
      <w:pPr>
        <w:spacing w:after="0" w:line="240" w:lineRule="auto"/>
        <w:jc w:val="both"/>
        <w:rPr>
          <w:rFonts w:ascii="Humanst521 BT" w:hAnsi="Humanst521 BT"/>
          <w:color w:val="000000"/>
          <w:sz w:val="20"/>
          <w:szCs w:val="20"/>
          <w:shd w:val="clear" w:color="auto" w:fill="FFFFFF"/>
        </w:rPr>
      </w:pPr>
    </w:p>
    <w:p w:rsidR="00044141" w:rsidRDefault="00BE3179" w:rsidP="00044141">
      <w:pPr>
        <w:spacing w:after="0" w:line="240" w:lineRule="auto"/>
        <w:jc w:val="center"/>
        <w:rPr>
          <w:rFonts w:ascii="Humanst521 BT" w:hAnsi="Humanst521 BT"/>
          <w:color w:val="000000"/>
          <w:sz w:val="20"/>
          <w:szCs w:val="20"/>
          <w:shd w:val="clear" w:color="auto" w:fill="FFFFFF"/>
        </w:rPr>
      </w:pPr>
      <w:hyperlink r:id="rId6" w:history="1">
        <w:r w:rsidR="00044141">
          <w:rPr>
            <w:rStyle w:val="Hipervnculo"/>
            <w:rFonts w:ascii="Humanst521 BT" w:hAnsi="Humanst521 BT"/>
            <w:sz w:val="20"/>
            <w:szCs w:val="20"/>
            <w:shd w:val="clear" w:color="auto" w:fill="FFFFFF"/>
          </w:rPr>
          <w:t>http://www.ieebc.mx/cartografia.html</w:t>
        </w:r>
      </w:hyperlink>
    </w:p>
    <w:p w:rsidR="00044141" w:rsidRDefault="00044141" w:rsidP="00044141">
      <w:pPr>
        <w:spacing w:after="0" w:line="240" w:lineRule="auto"/>
        <w:jc w:val="both"/>
        <w:rPr>
          <w:rFonts w:ascii="Humanst521 BT" w:hAnsi="Humanst521 BT"/>
          <w:sz w:val="20"/>
          <w:szCs w:val="20"/>
        </w:rPr>
      </w:pPr>
    </w:p>
    <w:p w:rsidR="00044141" w:rsidRDefault="00044141" w:rsidP="00044141">
      <w:pPr>
        <w:pStyle w:val="Textosinformato"/>
        <w:jc w:val="both"/>
        <w:rPr>
          <w:sz w:val="20"/>
          <w:szCs w:val="20"/>
        </w:rPr>
      </w:pPr>
      <w:r>
        <w:rPr>
          <w:rFonts w:ascii="Humanst521 BT" w:hAnsi="Humanst521 BT"/>
          <w:sz w:val="20"/>
          <w:szCs w:val="20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 </w:t>
      </w:r>
      <w:hyperlink r:id="rId7" w:history="1">
        <w:r>
          <w:rPr>
            <w:rStyle w:val="Hipervnculo"/>
            <w:rFonts w:ascii="Humanst521 BT" w:hAnsi="Humanst521 BT"/>
            <w:sz w:val="20"/>
            <w:szCs w:val="20"/>
          </w:rPr>
          <w:t>http://www.itaipbc.org.mx/index.php/welcome/recurso_de_revision</w:t>
        </w:r>
      </w:hyperlink>
    </w:p>
    <w:p w:rsidR="00044141" w:rsidRDefault="00044141" w:rsidP="00044141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</w:rPr>
      </w:pPr>
    </w:p>
    <w:p w:rsidR="00044141" w:rsidRDefault="00044141" w:rsidP="00044141">
      <w:pPr>
        <w:spacing w:after="0" w:line="240" w:lineRule="auto"/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>
        <w:rPr>
          <w:rFonts w:ascii="Humanst521 BT" w:hAnsi="Humanst521 BT"/>
          <w:sz w:val="20"/>
          <w:szCs w:val="20"/>
          <w:lang w:val="es-ES"/>
        </w:rPr>
        <w:t xml:space="preserve"> respectivo</w:t>
      </w:r>
    </w:p>
    <w:p w:rsidR="00044141" w:rsidRDefault="00044141" w:rsidP="00044141">
      <w:pPr>
        <w:spacing w:after="0" w:line="240" w:lineRule="auto"/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044141" w:rsidRDefault="00044141" w:rsidP="00044141">
      <w:pPr>
        <w:spacing w:after="0" w:line="240" w:lineRule="auto"/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044141" w:rsidRDefault="00044141" w:rsidP="00044141">
      <w:pPr>
        <w:spacing w:after="0" w:line="240" w:lineRule="auto"/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044141" w:rsidRDefault="00044141" w:rsidP="00044141">
      <w:pPr>
        <w:spacing w:after="0" w:line="240" w:lineRule="auto"/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044141" w:rsidRDefault="00044141" w:rsidP="00044141">
      <w:pPr>
        <w:spacing w:after="0" w:line="240" w:lineRule="auto"/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467A63" w:rsidRDefault="00467A63" w:rsidP="00044141">
      <w:pPr>
        <w:spacing w:after="0" w:line="240" w:lineRule="auto"/>
        <w:jc w:val="center"/>
        <w:rPr>
          <w:rFonts w:ascii="Humanst521 BT" w:hAnsi="Humanst521 BT"/>
          <w:sz w:val="23"/>
          <w:szCs w:val="23"/>
          <w:lang w:val="es-ES"/>
        </w:rPr>
      </w:pPr>
    </w:p>
    <w:p w:rsidR="00467A63" w:rsidRPr="00467A63" w:rsidRDefault="00467A63" w:rsidP="00044141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(Rúbrica)</w:t>
      </w:r>
    </w:p>
    <w:p w:rsidR="00044141" w:rsidRDefault="00044141" w:rsidP="00044141">
      <w:pPr>
        <w:spacing w:after="0" w:line="240" w:lineRule="auto"/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044141" w:rsidRDefault="00044141" w:rsidP="00044141">
      <w:pPr>
        <w:spacing w:after="0" w:line="240" w:lineRule="auto"/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 xml:space="preserve">            TITULAR DE LA UNIDAD DE TRANSPARENCIA           </w:t>
      </w:r>
    </w:p>
    <w:p w:rsidR="005640DA" w:rsidRDefault="005640DA" w:rsidP="005640DA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 xml:space="preserve">          </w:t>
      </w:r>
    </w:p>
    <w:p w:rsidR="00044141" w:rsidRDefault="00044141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sectPr w:rsidR="00044141" w:rsidSect="00E263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5640DA"/>
    <w:rsid w:val="00044141"/>
    <w:rsid w:val="00082B22"/>
    <w:rsid w:val="0040731B"/>
    <w:rsid w:val="00467A63"/>
    <w:rsid w:val="005640DA"/>
    <w:rsid w:val="00705CD2"/>
    <w:rsid w:val="00711CC0"/>
    <w:rsid w:val="00713CA7"/>
    <w:rsid w:val="00722395"/>
    <w:rsid w:val="00750360"/>
    <w:rsid w:val="007556F1"/>
    <w:rsid w:val="00763D62"/>
    <w:rsid w:val="00B74608"/>
    <w:rsid w:val="00BD2D2A"/>
    <w:rsid w:val="00BE3179"/>
    <w:rsid w:val="00E2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40DA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640DA"/>
    <w:pPr>
      <w:spacing w:after="0" w:line="240" w:lineRule="auto"/>
    </w:pPr>
    <w:rPr>
      <w:rFonts w:ascii="Consolas" w:eastAsiaTheme="minorHAnsi" w:hAnsi="Consolas" w:cs="Times New Roman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640DA"/>
    <w:rPr>
      <w:rFonts w:ascii="Consolas" w:eastAsiaTheme="minorHAnsi" w:hAnsi="Consolas" w:cs="Times New Roman"/>
      <w:sz w:val="21"/>
      <w:szCs w:val="21"/>
    </w:rPr>
  </w:style>
  <w:style w:type="character" w:customStyle="1" w:styleId="apple-converted-space">
    <w:name w:val="apple-converted-space"/>
    <w:basedOn w:val="Fuentedeprrafopredeter"/>
    <w:rsid w:val="00044141"/>
  </w:style>
  <w:style w:type="character" w:styleId="Textoennegrita">
    <w:name w:val="Strong"/>
    <w:basedOn w:val="Fuentedeprrafopredeter"/>
    <w:uiPriority w:val="22"/>
    <w:qFormat/>
    <w:rsid w:val="000441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taipbc.org.mx/index.php/welcome/recurso_de_revis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eebc.mx/cartografia.html" TargetMode="External"/><Relationship Id="rId5" Type="http://schemas.openxmlformats.org/officeDocument/2006/relationships/hyperlink" Target="http://www.informador.com.mx/2806/baja-california" TargetMode="External"/><Relationship Id="rId4" Type="http://schemas.openxmlformats.org/officeDocument/2006/relationships/hyperlink" Target="http://www.informador.com.mx/388/scj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IEPCBC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IEPCBC_CCS2</dc:creator>
  <cp:keywords/>
  <dc:description/>
  <cp:lastModifiedBy>Vanessa López</cp:lastModifiedBy>
  <cp:revision>10</cp:revision>
  <cp:lastPrinted>2015-10-21T00:03:00Z</cp:lastPrinted>
  <dcterms:created xsi:type="dcterms:W3CDTF">2015-10-20T22:27:00Z</dcterms:created>
  <dcterms:modified xsi:type="dcterms:W3CDTF">2015-12-30T22:56:00Z</dcterms:modified>
</cp:coreProperties>
</file>