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Unidad</w:t>
      </w:r>
      <w:r w:rsidR="006D141F">
        <w:rPr>
          <w:rFonts w:ascii="Humanst521 BT" w:hAnsi="Humanst521 BT"/>
          <w:b/>
          <w:bCs/>
          <w:color w:val="000000"/>
          <w:sz w:val="23"/>
          <w:szCs w:val="23"/>
        </w:rPr>
        <w:t xml:space="preserve"> de Transparencia del Instituto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Estatal Electoral de Baja California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UTIEPCBC/31</w:t>
      </w:r>
      <w:r w:rsidR="00771FB5">
        <w:rPr>
          <w:rFonts w:ascii="Humanst521 BT" w:hAnsi="Humanst521 BT"/>
          <w:b/>
          <w:bCs/>
          <w:sz w:val="23"/>
          <w:szCs w:val="23"/>
          <w:lang w:val="es-ES"/>
        </w:rPr>
        <w:t>7</w:t>
      </w:r>
      <w:r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</w:t>
      </w:r>
      <w:r w:rsidR="00DC4320">
        <w:rPr>
          <w:rFonts w:ascii="Humanst521 BT" w:hAnsi="Humanst521 BT"/>
          <w:sz w:val="23"/>
          <w:szCs w:val="23"/>
          <w:lang w:val="es-ES"/>
        </w:rPr>
        <w:t>6</w:t>
      </w:r>
      <w:r>
        <w:rPr>
          <w:rFonts w:ascii="Humanst521 BT" w:hAnsi="Humanst521 BT"/>
          <w:sz w:val="23"/>
          <w:szCs w:val="23"/>
          <w:lang w:val="es-ES"/>
        </w:rPr>
        <w:t xml:space="preserve"> de octubre de 2015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7673E9" w:rsidRDefault="007673E9" w:rsidP="007673E9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71FB5">
        <w:rPr>
          <w:rFonts w:ascii="Humanst521 BT" w:hAnsi="Humanst521 BT"/>
          <w:sz w:val="20"/>
          <w:szCs w:val="20"/>
          <w:lang w:val="es-ES"/>
        </w:rPr>
        <w:t>20</w:t>
      </w:r>
      <w:r>
        <w:rPr>
          <w:rFonts w:ascii="Humanst521 BT" w:hAnsi="Humanst521 BT"/>
          <w:sz w:val="20"/>
          <w:szCs w:val="20"/>
          <w:lang w:val="es-ES"/>
        </w:rPr>
        <w:t xml:space="preserve"> de octubre del año en curso, a la que correspondió el número de </w:t>
      </w:r>
      <w:r>
        <w:rPr>
          <w:rFonts w:ascii="Humanst521 BT" w:hAnsi="Humanst521 BT"/>
          <w:b/>
          <w:bCs/>
          <w:sz w:val="20"/>
          <w:szCs w:val="20"/>
          <w:lang w:val="es-ES"/>
        </w:rPr>
        <w:t>folio 00013</w:t>
      </w:r>
      <w:r w:rsidR="00771FB5">
        <w:rPr>
          <w:rFonts w:ascii="Humanst521 BT" w:hAnsi="Humanst521 BT"/>
          <w:b/>
          <w:bCs/>
          <w:sz w:val="20"/>
          <w:szCs w:val="20"/>
          <w:lang w:val="es-ES"/>
        </w:rPr>
        <w:t>5</w:t>
      </w:r>
      <w:r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Con referencia a la información solicitada, le informamos que </w:t>
      </w:r>
      <w:r w:rsidR="00771FB5">
        <w:rPr>
          <w:rFonts w:ascii="Humanst521 BT" w:hAnsi="Humanst521 BT"/>
          <w:color w:val="000000"/>
          <w:sz w:val="20"/>
          <w:szCs w:val="20"/>
          <w:shd w:val="clear" w:color="auto" w:fill="FFFFFF"/>
        </w:rPr>
        <w:t>los Estatutos del Partido Peninsular de las California los puede encontrar en la</w:t>
      </w:r>
      <w:r w:rsidR="00B01887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 página de internet</w:t>
      </w:r>
      <w:r w:rsidR="00771FB5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 del Instituto Estatal Electoral de Baja California en la siguiente liga</w:t>
      </w:r>
      <w:r w:rsidR="00B01887">
        <w:rPr>
          <w:rFonts w:ascii="Humanst521 BT" w:hAnsi="Humanst521 BT"/>
          <w:color w:val="000000"/>
          <w:sz w:val="20"/>
          <w:szCs w:val="20"/>
          <w:shd w:val="clear" w:color="auto" w:fill="FFFFFF"/>
        </w:rPr>
        <w:t>:</w:t>
      </w:r>
    </w:p>
    <w:p w:rsidR="00E542CA" w:rsidRDefault="00E542CA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</w:p>
    <w:p w:rsidR="007673E9" w:rsidRDefault="00553288" w:rsidP="00771FB5">
      <w:pPr>
        <w:spacing w:after="0" w:line="240" w:lineRule="auto"/>
        <w:jc w:val="center"/>
      </w:pPr>
      <w:hyperlink r:id="rId4" w:history="1">
        <w:r w:rsidR="00771FB5" w:rsidRPr="00571303">
          <w:rPr>
            <w:rStyle w:val="Hipervnculo"/>
          </w:rPr>
          <w:t>http://ieebc.mx/archivos/partidos/ppc/ESTATUTOS%20PPC%20FRACCION%20II.pdf</w:t>
        </w:r>
      </w:hyperlink>
    </w:p>
    <w:p w:rsidR="00771FB5" w:rsidRDefault="00771FB5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</w:rPr>
      </w:pPr>
    </w:p>
    <w:p w:rsidR="007673E9" w:rsidRDefault="007673E9" w:rsidP="007673E9">
      <w:pPr>
        <w:pStyle w:val="Textosinformato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7673E9" w:rsidRDefault="00553288" w:rsidP="007673E9">
      <w:pPr>
        <w:pStyle w:val="Textosinformato"/>
        <w:jc w:val="both"/>
        <w:rPr>
          <w:sz w:val="20"/>
          <w:szCs w:val="20"/>
        </w:rPr>
      </w:pPr>
      <w:hyperlink r:id="rId5" w:history="1">
        <w:r w:rsidR="007673E9">
          <w:rPr>
            <w:rStyle w:val="Hipervnculo"/>
            <w:rFonts w:ascii="Humanst521 BT" w:hAnsi="Humanst521 BT"/>
            <w:sz w:val="20"/>
            <w:szCs w:val="20"/>
          </w:rPr>
          <w:t>http://www.itaipbc.org.mx/index.php/welcome/recurso_de_revision</w:t>
        </w:r>
      </w:hyperlink>
    </w:p>
    <w:p w:rsidR="007673E9" w:rsidRDefault="007673E9" w:rsidP="007673E9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CB72AD" w:rsidRDefault="00CB72AD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TITULAR DE LA UNIDAD DE TRANSPARENCIA </w:t>
      </w:r>
    </w:p>
    <w:p w:rsidR="007673E9" w:rsidRDefault="007673E9" w:rsidP="007673E9">
      <w:pPr>
        <w:pStyle w:val="Textosinformato"/>
        <w:rPr>
          <w:lang w:val="es-ES"/>
        </w:rPr>
      </w:pPr>
    </w:p>
    <w:p w:rsidR="00044141" w:rsidRDefault="00044141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7673E9" w:rsidRDefault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7673E9" w:rsidSect="00E26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640DA"/>
    <w:rsid w:val="00044141"/>
    <w:rsid w:val="00082B22"/>
    <w:rsid w:val="00273738"/>
    <w:rsid w:val="0040731B"/>
    <w:rsid w:val="004D797B"/>
    <w:rsid w:val="004F6BD2"/>
    <w:rsid w:val="00553288"/>
    <w:rsid w:val="005640DA"/>
    <w:rsid w:val="005913DB"/>
    <w:rsid w:val="005B6400"/>
    <w:rsid w:val="0060245D"/>
    <w:rsid w:val="00680BC4"/>
    <w:rsid w:val="006D141F"/>
    <w:rsid w:val="00705CD2"/>
    <w:rsid w:val="00711CC0"/>
    <w:rsid w:val="00713CA7"/>
    <w:rsid w:val="00722395"/>
    <w:rsid w:val="00740295"/>
    <w:rsid w:val="00750360"/>
    <w:rsid w:val="007556F1"/>
    <w:rsid w:val="00763D62"/>
    <w:rsid w:val="007673E9"/>
    <w:rsid w:val="00771FB5"/>
    <w:rsid w:val="00776839"/>
    <w:rsid w:val="008D1131"/>
    <w:rsid w:val="00980CC2"/>
    <w:rsid w:val="00A733A7"/>
    <w:rsid w:val="00AC527C"/>
    <w:rsid w:val="00B01887"/>
    <w:rsid w:val="00B74608"/>
    <w:rsid w:val="00B83A0E"/>
    <w:rsid w:val="00BD2D2A"/>
    <w:rsid w:val="00CB72AD"/>
    <w:rsid w:val="00CD2D83"/>
    <w:rsid w:val="00D06056"/>
    <w:rsid w:val="00D664F9"/>
    <w:rsid w:val="00DC4320"/>
    <w:rsid w:val="00E263E7"/>
    <w:rsid w:val="00E542CA"/>
    <w:rsid w:val="00EC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D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0DA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0DA"/>
    <w:rPr>
      <w:rFonts w:ascii="Consolas" w:eastAsiaTheme="minorHAnsi" w:hAnsi="Consolas" w:cs="Times New Roman"/>
      <w:sz w:val="21"/>
      <w:szCs w:val="21"/>
    </w:rPr>
  </w:style>
  <w:style w:type="character" w:customStyle="1" w:styleId="apple-converted-space">
    <w:name w:val="apple-converted-space"/>
    <w:basedOn w:val="Fuentedeprrafopredeter"/>
    <w:rsid w:val="00044141"/>
  </w:style>
  <w:style w:type="character" w:styleId="Textoennegrita">
    <w:name w:val="Strong"/>
    <w:basedOn w:val="Fuentedeprrafopredeter"/>
    <w:uiPriority w:val="22"/>
    <w:qFormat/>
    <w:rsid w:val="00044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hyperlink" Target="http://ieebc.mx/archivos/partidos/ppc/ESTATUTOS%20PPC%20FRACCION%20I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Vanessa López</cp:lastModifiedBy>
  <cp:revision>23</cp:revision>
  <cp:lastPrinted>2015-10-26T23:07:00Z</cp:lastPrinted>
  <dcterms:created xsi:type="dcterms:W3CDTF">2015-10-20T22:27:00Z</dcterms:created>
  <dcterms:modified xsi:type="dcterms:W3CDTF">2015-12-30T22:59:00Z</dcterms:modified>
</cp:coreProperties>
</file>