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UTIEPCBC</w:t>
      </w:r>
      <w:r w:rsidR="00784F2A" w:rsidRPr="00087BAC">
        <w:rPr>
          <w:rFonts w:cs="Tahoma"/>
          <w:b/>
          <w:bCs/>
          <w:sz w:val="20"/>
          <w:szCs w:val="20"/>
          <w:lang w:val="es-ES"/>
        </w:rPr>
        <w:t>/</w:t>
      </w:r>
      <w:r w:rsidR="00910514">
        <w:rPr>
          <w:rFonts w:cs="Tahoma"/>
          <w:b/>
          <w:bCs/>
          <w:sz w:val="20"/>
          <w:szCs w:val="20"/>
          <w:lang w:val="es-ES"/>
        </w:rPr>
        <w:t>4</w:t>
      </w:r>
      <w:r w:rsidR="00531D46">
        <w:rPr>
          <w:rFonts w:cs="Tahoma"/>
          <w:b/>
          <w:bCs/>
          <w:sz w:val="20"/>
          <w:szCs w:val="20"/>
          <w:lang w:val="es-ES"/>
        </w:rPr>
        <w:t>51</w:t>
      </w:r>
      <w:r w:rsidR="00B103A5" w:rsidRPr="00087BAC">
        <w:rPr>
          <w:rFonts w:cs="Tahoma"/>
          <w:b/>
          <w:bCs/>
          <w:sz w:val="20"/>
          <w:szCs w:val="20"/>
          <w:lang w:val="es-ES"/>
        </w:rPr>
        <w:t>/</w:t>
      </w:r>
      <w:r w:rsidRPr="00087BAC">
        <w:rPr>
          <w:rFonts w:cs="Tahoma"/>
          <w:b/>
          <w:bCs/>
          <w:sz w:val="20"/>
          <w:szCs w:val="20"/>
          <w:lang w:val="es-ES"/>
        </w:rPr>
        <w:t>201</w:t>
      </w:r>
      <w:r w:rsidR="00531D46">
        <w:rPr>
          <w:rFonts w:cs="Tahoma"/>
          <w:b/>
          <w:bCs/>
          <w:sz w:val="20"/>
          <w:szCs w:val="20"/>
          <w:lang w:val="es-ES"/>
        </w:rPr>
        <w:t>5</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910514">
        <w:rPr>
          <w:rFonts w:cs="Tahoma"/>
          <w:sz w:val="20"/>
          <w:szCs w:val="20"/>
          <w:lang w:val="es-ES"/>
        </w:rPr>
        <w:t>28</w:t>
      </w:r>
      <w:r w:rsidR="009C120C" w:rsidRPr="00087BAC">
        <w:rPr>
          <w:rFonts w:cs="Tahoma"/>
          <w:sz w:val="20"/>
          <w:szCs w:val="20"/>
          <w:lang w:val="es-ES"/>
        </w:rPr>
        <w:t xml:space="preserve"> </w:t>
      </w:r>
      <w:r w:rsidR="00451CD3" w:rsidRPr="00087BAC">
        <w:rPr>
          <w:rFonts w:cs="Tahoma"/>
          <w:sz w:val="20"/>
          <w:szCs w:val="20"/>
          <w:lang w:val="es-ES"/>
        </w:rPr>
        <w:t xml:space="preserve">de </w:t>
      </w:r>
      <w:r w:rsidR="005C6DFC" w:rsidRPr="00087BAC">
        <w:rPr>
          <w:rFonts w:cs="Tahoma"/>
          <w:sz w:val="20"/>
          <w:szCs w:val="20"/>
          <w:lang w:val="es-ES"/>
        </w:rPr>
        <w:t>dicie</w:t>
      </w:r>
      <w:r w:rsidR="00451CD3" w:rsidRPr="00087BAC">
        <w:rPr>
          <w:rFonts w:cs="Tahoma"/>
          <w:sz w:val="20"/>
          <w:szCs w:val="20"/>
          <w:lang w:val="es-ES"/>
        </w:rPr>
        <w:t>m</w:t>
      </w:r>
      <w:r w:rsidR="00FE7A99" w:rsidRPr="00087BAC">
        <w:rPr>
          <w:rFonts w:cs="Tahoma"/>
          <w:sz w:val="20"/>
          <w:szCs w:val="20"/>
          <w:lang w:val="es-ES"/>
        </w:rPr>
        <w:t>bre</w:t>
      </w:r>
      <w:r w:rsidR="00C255C1" w:rsidRPr="00087BAC">
        <w:rPr>
          <w:rFonts w:cs="Tahoma"/>
          <w:sz w:val="20"/>
          <w:szCs w:val="20"/>
          <w:lang w:val="es-ES"/>
        </w:rPr>
        <w:t xml:space="preserve"> </w:t>
      </w:r>
      <w:r w:rsidR="00866745" w:rsidRPr="00087BAC">
        <w:rPr>
          <w:rFonts w:cs="Tahoma"/>
          <w:sz w:val="20"/>
          <w:szCs w:val="20"/>
          <w:lang w:val="es-ES"/>
        </w:rPr>
        <w:t xml:space="preserve">de </w:t>
      </w:r>
      <w:r w:rsidR="00D945F5" w:rsidRPr="00087BAC">
        <w:rPr>
          <w:rFonts w:cs="Tahoma"/>
          <w:sz w:val="20"/>
          <w:szCs w:val="20"/>
          <w:lang w:val="es-ES"/>
        </w:rPr>
        <w:t>2015</w:t>
      </w:r>
    </w:p>
    <w:p w:rsidR="000702A9" w:rsidRDefault="000702A9" w:rsidP="00EE689A">
      <w:pPr>
        <w:spacing w:line="240" w:lineRule="auto"/>
        <w:contextualSpacing/>
        <w:rPr>
          <w:rFonts w:cs="Tahoma"/>
          <w:sz w:val="20"/>
          <w:szCs w:val="20"/>
          <w:lang w:val="es-ES"/>
        </w:rPr>
      </w:pPr>
    </w:p>
    <w:p w:rsidR="00D21D7A" w:rsidRDefault="00D21D7A" w:rsidP="00EE689A">
      <w:pPr>
        <w:spacing w:line="240" w:lineRule="auto"/>
        <w:contextualSpacing/>
        <w:rPr>
          <w:rFonts w:cs="Tahoma"/>
          <w:sz w:val="20"/>
          <w:szCs w:val="20"/>
        </w:rPr>
      </w:pPr>
    </w:p>
    <w:p w:rsidR="00EE689A" w:rsidRPr="00EE689A" w:rsidRDefault="00531D46" w:rsidP="00EE689A">
      <w:pPr>
        <w:spacing w:line="240" w:lineRule="auto"/>
        <w:contextualSpacing/>
        <w:rPr>
          <w:rFonts w:cs="Tahoma"/>
          <w:sz w:val="20"/>
          <w:szCs w:val="20"/>
        </w:rPr>
      </w:pPr>
      <w:r>
        <w:rPr>
          <w:rFonts w:cs="Tahoma"/>
          <w:sz w:val="20"/>
          <w:szCs w:val="20"/>
        </w:rPr>
        <w:t xml:space="preserve"> </w:t>
      </w: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087BAC" w:rsidRDefault="00EE689A" w:rsidP="0055220E">
      <w:pPr>
        <w:shd w:val="clear" w:color="auto" w:fill="FFFFFF"/>
        <w:spacing w:after="0" w:line="240" w:lineRule="auto"/>
        <w:rPr>
          <w:rFonts w:cs="Tahoma"/>
          <w:sz w:val="20"/>
          <w:szCs w:val="20"/>
        </w:rPr>
      </w:pPr>
    </w:p>
    <w:p w:rsidR="00046FD7" w:rsidRPr="00087BAC" w:rsidRDefault="00FC466C" w:rsidP="00087BAC">
      <w:pPr>
        <w:spacing w:after="0" w:line="360" w:lineRule="auto"/>
        <w:jc w:val="both"/>
        <w:rPr>
          <w:sz w:val="20"/>
          <w:szCs w:val="20"/>
          <w:lang w:val="es-ES"/>
        </w:rPr>
      </w:pPr>
      <w:r w:rsidRPr="00087BAC">
        <w:rPr>
          <w:sz w:val="20"/>
          <w:szCs w:val="20"/>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910514">
        <w:rPr>
          <w:sz w:val="20"/>
          <w:szCs w:val="20"/>
          <w:lang w:val="es-ES"/>
        </w:rPr>
        <w:t>24</w:t>
      </w:r>
      <w:r w:rsidR="005C6DFC" w:rsidRPr="00087BAC">
        <w:rPr>
          <w:sz w:val="20"/>
          <w:szCs w:val="20"/>
          <w:lang w:val="es-ES"/>
        </w:rPr>
        <w:t xml:space="preserve"> de dici</w:t>
      </w:r>
      <w:r w:rsidR="009F27F2" w:rsidRPr="00087BAC">
        <w:rPr>
          <w:sz w:val="20"/>
          <w:szCs w:val="20"/>
          <w:lang w:val="es-ES"/>
        </w:rPr>
        <w:t xml:space="preserve">embre </w:t>
      </w:r>
      <w:r w:rsidRPr="00087BAC">
        <w:rPr>
          <w:sz w:val="20"/>
          <w:szCs w:val="20"/>
          <w:lang w:val="es-ES"/>
        </w:rPr>
        <w:t xml:space="preserve">del año en curso, a la que correspondió el número de </w:t>
      </w:r>
      <w:r w:rsidR="00A1261F" w:rsidRPr="00087BAC">
        <w:rPr>
          <w:b/>
          <w:bCs/>
          <w:sz w:val="20"/>
          <w:szCs w:val="20"/>
          <w:lang w:val="es-ES"/>
        </w:rPr>
        <w:t xml:space="preserve">folio </w:t>
      </w:r>
      <w:r w:rsidR="00597201" w:rsidRPr="00087BAC">
        <w:rPr>
          <w:b/>
          <w:bCs/>
          <w:sz w:val="20"/>
          <w:szCs w:val="20"/>
          <w:lang w:val="es-ES"/>
        </w:rPr>
        <w:t>00</w:t>
      </w:r>
      <w:r w:rsidR="00C111F8" w:rsidRPr="00087BAC">
        <w:rPr>
          <w:b/>
          <w:bCs/>
          <w:sz w:val="20"/>
          <w:szCs w:val="20"/>
          <w:lang w:val="es-ES"/>
        </w:rPr>
        <w:t>0</w:t>
      </w:r>
      <w:r w:rsidR="00EE689A">
        <w:rPr>
          <w:b/>
          <w:bCs/>
          <w:sz w:val="20"/>
          <w:szCs w:val="20"/>
          <w:lang w:val="es-ES"/>
        </w:rPr>
        <w:t>19</w:t>
      </w:r>
      <w:r w:rsidR="00531D46">
        <w:rPr>
          <w:b/>
          <w:bCs/>
          <w:sz w:val="20"/>
          <w:szCs w:val="20"/>
          <w:lang w:val="es-ES"/>
        </w:rPr>
        <w:t>8</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EE689A" w:rsidRDefault="00730F52" w:rsidP="00531D46">
      <w:pPr>
        <w:spacing w:after="0" w:line="360" w:lineRule="auto"/>
        <w:jc w:val="both"/>
        <w:rPr>
          <w:rFonts w:cs="Arial"/>
          <w:color w:val="000000"/>
          <w:shd w:val="clear" w:color="auto" w:fill="FFFFFF"/>
        </w:rPr>
      </w:pPr>
      <w:r w:rsidRPr="0055220E">
        <w:rPr>
          <w:rFonts w:cs="Arial"/>
          <w:color w:val="000000"/>
        </w:rPr>
        <w:br/>
      </w:r>
      <w:r w:rsidR="00EE689A">
        <w:rPr>
          <w:rFonts w:cs="Arial"/>
          <w:color w:val="000000"/>
          <w:shd w:val="clear" w:color="auto" w:fill="FFFFFF"/>
        </w:rPr>
        <w:t xml:space="preserve">La información </w:t>
      </w:r>
      <w:r w:rsidR="00531D46">
        <w:rPr>
          <w:rFonts w:cs="Arial"/>
          <w:color w:val="000000"/>
          <w:shd w:val="clear" w:color="auto" w:fill="FFFFFF"/>
        </w:rPr>
        <w:t xml:space="preserve">que solicita no se encuentra en poder del Instituto Estatal Electoral del Estado de Baja California de conformidad con las facultades establecidas en el artículo 46 de la Ley Electoral del Estado de Baja California. </w:t>
      </w:r>
    </w:p>
    <w:p w:rsidR="00531D46" w:rsidRDefault="00531D46" w:rsidP="00531D46">
      <w:pPr>
        <w:spacing w:after="0" w:line="360" w:lineRule="auto"/>
        <w:jc w:val="both"/>
        <w:rPr>
          <w:rFonts w:cs="Arial"/>
          <w:color w:val="000000"/>
          <w:shd w:val="clear" w:color="auto" w:fill="FFFFFF"/>
        </w:rPr>
      </w:pPr>
      <w:r>
        <w:rPr>
          <w:rFonts w:cs="Arial"/>
          <w:color w:val="000000"/>
          <w:shd w:val="clear" w:color="auto" w:fill="FFFFFF"/>
        </w:rPr>
        <w:t>Sin embargo, le sugerimos dirigir su solicitud al Instituto Nacional Electoral (INE) a través del siguiente enlace:</w:t>
      </w:r>
    </w:p>
    <w:p w:rsidR="00531D46" w:rsidRPr="00531D46" w:rsidRDefault="00DF6DE7" w:rsidP="00531D46">
      <w:pPr>
        <w:spacing w:after="0" w:line="360" w:lineRule="auto"/>
        <w:jc w:val="both"/>
      </w:pPr>
      <w:hyperlink r:id="rId5" w:history="1">
        <w:r w:rsidR="00531D46" w:rsidRPr="00BA2115">
          <w:rPr>
            <w:rStyle w:val="Hipervnculo"/>
          </w:rPr>
          <w:t>http://www.ine.mx/archivos3/portal/historico/contenido/Obligaciones_de_Transparencia/</w:t>
        </w:r>
      </w:hyperlink>
      <w:r w:rsidR="00531D46">
        <w:t xml:space="preserve"> </w:t>
      </w:r>
    </w:p>
    <w:p w:rsidR="000702A9" w:rsidRPr="00087BAC" w:rsidRDefault="000702A9" w:rsidP="00087BAC">
      <w:pPr>
        <w:spacing w:after="0" w:line="360" w:lineRule="auto"/>
        <w:jc w:val="center"/>
      </w:pP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DF6DE7" w:rsidP="00087BAC">
      <w:pPr>
        <w:pStyle w:val="Textosinformato"/>
        <w:spacing w:line="360" w:lineRule="auto"/>
        <w:jc w:val="center"/>
        <w:rPr>
          <w:rFonts w:asciiTheme="minorHAnsi" w:hAnsiTheme="minorHAnsi"/>
          <w:color w:val="3333FF"/>
          <w:sz w:val="20"/>
          <w:szCs w:val="20"/>
          <w:u w:val="single"/>
          <w:lang w:val="es-MX"/>
        </w:rPr>
      </w:pPr>
      <w:hyperlink r:id="rId6"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Pr="00087BAC" w:rsidRDefault="00606CEF" w:rsidP="00606CEF">
      <w:pPr>
        <w:jc w:val="center"/>
        <w:rPr>
          <w:sz w:val="20"/>
          <w:szCs w:val="20"/>
          <w:lang w:val="es-ES"/>
        </w:rPr>
      </w:pPr>
      <w:r w:rsidRPr="00087BAC">
        <w:rPr>
          <w:sz w:val="20"/>
          <w:szCs w:val="20"/>
          <w:lang w:val="es-ES"/>
        </w:rPr>
        <w:t>“Por la Autonomía e Independencia</w:t>
      </w:r>
    </w:p>
    <w:p w:rsidR="00395361" w:rsidRPr="00087BAC" w:rsidRDefault="00606CEF" w:rsidP="00395361">
      <w:pPr>
        <w:jc w:val="center"/>
        <w:rPr>
          <w:b/>
          <w:bCs/>
          <w:sz w:val="20"/>
          <w:szCs w:val="20"/>
          <w:lang w:val="es-ES"/>
        </w:rPr>
      </w:pPr>
      <w:r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7698"/>
    <w:rsid w:val="0044776B"/>
    <w:rsid w:val="00451CD3"/>
    <w:rsid w:val="004643CC"/>
    <w:rsid w:val="004659C1"/>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6FAF"/>
    <w:rsid w:val="00641114"/>
    <w:rsid w:val="006553FD"/>
    <w:rsid w:val="00663B64"/>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607D3"/>
    <w:rsid w:val="00866745"/>
    <w:rsid w:val="00866C1C"/>
    <w:rsid w:val="00872C20"/>
    <w:rsid w:val="008840BD"/>
    <w:rsid w:val="00885BE5"/>
    <w:rsid w:val="008A29FD"/>
    <w:rsid w:val="008A6602"/>
    <w:rsid w:val="008C169E"/>
    <w:rsid w:val="008C3143"/>
    <w:rsid w:val="008F044B"/>
    <w:rsid w:val="008F405A"/>
    <w:rsid w:val="00910514"/>
    <w:rsid w:val="009136DB"/>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3B43"/>
    <w:rsid w:val="00BD3FCD"/>
    <w:rsid w:val="00BE1758"/>
    <w:rsid w:val="00BF16B9"/>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F2A92"/>
    <w:rsid w:val="00CF72AF"/>
    <w:rsid w:val="00D06504"/>
    <w:rsid w:val="00D1409D"/>
    <w:rsid w:val="00D14F4C"/>
    <w:rsid w:val="00D1666E"/>
    <w:rsid w:val="00D2033C"/>
    <w:rsid w:val="00D21D7A"/>
    <w:rsid w:val="00D277B3"/>
    <w:rsid w:val="00D33F98"/>
    <w:rsid w:val="00D55EAF"/>
    <w:rsid w:val="00D64099"/>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6DE7"/>
    <w:rsid w:val="00DF7264"/>
    <w:rsid w:val="00E0113D"/>
    <w:rsid w:val="00E046A8"/>
    <w:rsid w:val="00E12BB4"/>
    <w:rsid w:val="00E1688A"/>
    <w:rsid w:val="00E23628"/>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253A3"/>
    <w:rsid w:val="00F277E9"/>
    <w:rsid w:val="00F42398"/>
    <w:rsid w:val="00F42DD0"/>
    <w:rsid w:val="00F47A93"/>
    <w:rsid w:val="00F47DF0"/>
    <w:rsid w:val="00F5013A"/>
    <w:rsid w:val="00F651D1"/>
    <w:rsid w:val="00F724E1"/>
    <w:rsid w:val="00F848AB"/>
    <w:rsid w:val="00F9317C"/>
    <w:rsid w:val="00F96412"/>
    <w:rsid w:val="00FA107F"/>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www.ine.mx/archivos3/portal/historico/contenido/Obligaciones_de_Transparen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2015-12-28T19:26:00Z</dcterms:created>
  <dcterms:modified xsi:type="dcterms:W3CDTF">2016-01-05T17:20:00Z</dcterms:modified>
</cp:coreProperties>
</file>