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2" w:rsidRDefault="003B6EA2" w:rsidP="00D1551F">
      <w:pPr>
        <w:ind w:right="-285"/>
        <w:jc w:val="right"/>
        <w:rPr>
          <w:rFonts w:ascii="Verdana" w:hAnsi="Verdana" w:cs="Tahoma"/>
          <w:sz w:val="22"/>
          <w:szCs w:val="22"/>
        </w:rPr>
      </w:pPr>
    </w:p>
    <w:p w:rsidR="00AB7D95" w:rsidRDefault="00905B0E" w:rsidP="00D1551F">
      <w:pPr>
        <w:ind w:right="-285"/>
        <w:jc w:val="right"/>
        <w:rPr>
          <w:rFonts w:ascii="Verdana" w:hAnsi="Verdana" w:cs="Tahoma"/>
          <w:sz w:val="22"/>
          <w:szCs w:val="22"/>
        </w:rPr>
      </w:pPr>
      <w:r>
        <w:rPr>
          <w:rFonts w:ascii="Verdana" w:hAnsi="Verdana" w:cs="Tahoma"/>
          <w:sz w:val="22"/>
          <w:szCs w:val="22"/>
        </w:rPr>
        <w:t>Mexicali, Baja California, a 18</w:t>
      </w:r>
      <w:r w:rsidR="00AB7D95" w:rsidRPr="00E631E5">
        <w:rPr>
          <w:rFonts w:ascii="Verdana" w:hAnsi="Verdana" w:cs="Tahoma"/>
          <w:sz w:val="22"/>
          <w:szCs w:val="22"/>
        </w:rPr>
        <w:t xml:space="preserve"> de </w:t>
      </w:r>
      <w:r w:rsidR="001D2B7B">
        <w:rPr>
          <w:rFonts w:ascii="Verdana" w:hAnsi="Verdana" w:cs="Tahoma"/>
          <w:sz w:val="22"/>
          <w:szCs w:val="22"/>
        </w:rPr>
        <w:t xml:space="preserve">marzo </w:t>
      </w:r>
      <w:r w:rsidR="00F4206F" w:rsidRPr="00E631E5">
        <w:rPr>
          <w:rFonts w:ascii="Verdana" w:hAnsi="Verdana" w:cs="Tahoma"/>
          <w:sz w:val="22"/>
          <w:szCs w:val="22"/>
        </w:rPr>
        <w:t>de 2016</w:t>
      </w:r>
      <w:r w:rsidR="00AB7D95" w:rsidRPr="00E631E5">
        <w:rPr>
          <w:rFonts w:ascii="Verdana" w:hAnsi="Verdana" w:cs="Tahoma"/>
          <w:sz w:val="22"/>
          <w:szCs w:val="22"/>
        </w:rPr>
        <w:t>.</w:t>
      </w:r>
    </w:p>
    <w:p w:rsidR="00966D90" w:rsidRPr="001D2B7B" w:rsidRDefault="00966D90" w:rsidP="00D1551F">
      <w:pPr>
        <w:ind w:right="-285"/>
        <w:jc w:val="right"/>
        <w:rPr>
          <w:rFonts w:ascii="Verdana" w:hAnsi="Verdana" w:cs="Tahoma"/>
          <w:sz w:val="16"/>
          <w:szCs w:val="16"/>
        </w:rPr>
      </w:pPr>
    </w:p>
    <w:p w:rsidR="00D1551F" w:rsidRDefault="00D1551F" w:rsidP="00D1551F">
      <w:pPr>
        <w:ind w:right="-285"/>
        <w:jc w:val="right"/>
        <w:rPr>
          <w:rFonts w:ascii="Tahoma" w:hAnsi="Tahoma" w:cs="Tahoma"/>
          <w:sz w:val="16"/>
          <w:szCs w:val="16"/>
        </w:rPr>
      </w:pPr>
    </w:p>
    <w:p w:rsidR="003B6EA2" w:rsidRPr="001D2B7B" w:rsidRDefault="003B6EA2" w:rsidP="00D1551F">
      <w:pPr>
        <w:ind w:right="-285"/>
        <w:jc w:val="right"/>
        <w:rPr>
          <w:rFonts w:ascii="Tahoma" w:hAnsi="Tahoma" w:cs="Tahoma"/>
          <w:sz w:val="16"/>
          <w:szCs w:val="16"/>
        </w:rPr>
      </w:pPr>
    </w:p>
    <w:tbl>
      <w:tblPr>
        <w:tblStyle w:val="Tablaconcuadrcul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tblGrid>
      <w:tr w:rsidR="00D74F0C" w:rsidTr="007418D8">
        <w:trPr>
          <w:trHeight w:val="360"/>
        </w:trPr>
        <w:tc>
          <w:tcPr>
            <w:tcW w:w="4901" w:type="dxa"/>
          </w:tcPr>
          <w:p w:rsidR="00D74F0C" w:rsidRPr="00E631E5" w:rsidRDefault="00D74F0C" w:rsidP="007418D8">
            <w:pPr>
              <w:spacing w:line="480" w:lineRule="auto"/>
              <w:ind w:firstLine="318"/>
              <w:rPr>
                <w:rFonts w:ascii="Verdana" w:hAnsi="Verdana" w:cs="Tahoma"/>
                <w:b/>
                <w:sz w:val="19"/>
                <w:szCs w:val="19"/>
              </w:rPr>
            </w:pPr>
            <w:r w:rsidRPr="00E631E5">
              <w:rPr>
                <w:rFonts w:ascii="Verdana" w:hAnsi="Verdana" w:cs="Tahoma"/>
                <w:b/>
                <w:sz w:val="19"/>
                <w:szCs w:val="19"/>
              </w:rPr>
              <w:t>DEPARTAMENTO DE CONTROL INTERNO</w:t>
            </w:r>
          </w:p>
        </w:tc>
      </w:tr>
      <w:tr w:rsidR="00D74F0C" w:rsidTr="007418D8">
        <w:trPr>
          <w:trHeight w:val="168"/>
        </w:trPr>
        <w:tc>
          <w:tcPr>
            <w:tcW w:w="4901" w:type="dxa"/>
          </w:tcPr>
          <w:p w:rsidR="00D74F0C" w:rsidRPr="00E631E5" w:rsidRDefault="001D2B7B" w:rsidP="007418D8">
            <w:pPr>
              <w:spacing w:line="480" w:lineRule="auto"/>
              <w:ind w:firstLine="318"/>
              <w:rPr>
                <w:rFonts w:ascii="Verdana" w:hAnsi="Verdana" w:cs="Tahoma"/>
                <w:b/>
                <w:sz w:val="19"/>
                <w:szCs w:val="19"/>
              </w:rPr>
            </w:pPr>
            <w:r>
              <w:rPr>
                <w:rFonts w:ascii="Verdana" w:hAnsi="Verdana" w:cs="Tahoma"/>
                <w:b/>
                <w:sz w:val="19"/>
                <w:szCs w:val="19"/>
              </w:rPr>
              <w:t>OFICIO No. DCI/081</w:t>
            </w:r>
            <w:r w:rsidR="00D74F0C" w:rsidRPr="00E631E5">
              <w:rPr>
                <w:rFonts w:ascii="Verdana" w:hAnsi="Verdana" w:cs="Tahoma"/>
                <w:b/>
                <w:sz w:val="19"/>
                <w:szCs w:val="19"/>
              </w:rPr>
              <w:t>/2016</w:t>
            </w:r>
          </w:p>
        </w:tc>
      </w:tr>
    </w:tbl>
    <w:p w:rsidR="00F33D08" w:rsidRDefault="00F33D08" w:rsidP="00D1551F">
      <w:pPr>
        <w:ind w:right="-285"/>
        <w:rPr>
          <w:rFonts w:ascii="Verdana" w:hAnsi="Verdana" w:cs="Tahoma"/>
          <w:sz w:val="16"/>
          <w:szCs w:val="16"/>
        </w:rPr>
      </w:pPr>
    </w:p>
    <w:p w:rsidR="001D2B7B" w:rsidRDefault="001D2B7B" w:rsidP="00D1551F">
      <w:pPr>
        <w:ind w:right="-285"/>
        <w:rPr>
          <w:rFonts w:ascii="Verdana" w:hAnsi="Verdana" w:cs="Tahoma"/>
          <w:sz w:val="16"/>
          <w:szCs w:val="16"/>
        </w:rPr>
      </w:pPr>
    </w:p>
    <w:p w:rsidR="003B6EA2" w:rsidRPr="001D2B7B" w:rsidRDefault="003B6EA2" w:rsidP="00D1551F">
      <w:pPr>
        <w:ind w:right="-285"/>
        <w:rPr>
          <w:rFonts w:ascii="Verdana" w:hAnsi="Verdana" w:cs="Tahoma"/>
          <w:sz w:val="16"/>
          <w:szCs w:val="16"/>
        </w:rPr>
      </w:pPr>
    </w:p>
    <w:p w:rsidR="00D74F0C" w:rsidRPr="001D2B7B" w:rsidRDefault="00175895" w:rsidP="00D74F0C">
      <w:pPr>
        <w:ind w:left="-426" w:right="-285"/>
        <w:jc w:val="both"/>
        <w:rPr>
          <w:rFonts w:ascii="Verdana" w:hAnsi="Verdana" w:cs="Tahoma"/>
          <w:b/>
          <w:sz w:val="21"/>
          <w:szCs w:val="21"/>
        </w:rPr>
      </w:pPr>
      <w:r w:rsidRPr="001D2B7B">
        <w:rPr>
          <w:rFonts w:ascii="Verdana" w:hAnsi="Verdana" w:cs="Tahoma"/>
          <w:b/>
          <w:sz w:val="21"/>
          <w:szCs w:val="21"/>
        </w:rPr>
        <w:t xml:space="preserve">LIC. MARIO </w:t>
      </w:r>
      <w:r w:rsidR="001D2B7B">
        <w:rPr>
          <w:rFonts w:ascii="Verdana" w:hAnsi="Verdana" w:cs="Tahoma"/>
          <w:b/>
          <w:sz w:val="21"/>
          <w:szCs w:val="21"/>
        </w:rPr>
        <w:t xml:space="preserve">EDUARDO </w:t>
      </w:r>
      <w:r w:rsidRPr="001D2B7B">
        <w:rPr>
          <w:rFonts w:ascii="Verdana" w:hAnsi="Verdana" w:cs="Tahoma"/>
          <w:b/>
          <w:sz w:val="21"/>
          <w:szCs w:val="21"/>
        </w:rPr>
        <w:t>MALO PAYAN</w:t>
      </w:r>
    </w:p>
    <w:p w:rsidR="006B3A41" w:rsidRPr="001D2B7B" w:rsidRDefault="00175895" w:rsidP="001D2B7B">
      <w:pPr>
        <w:ind w:left="-426" w:right="-285"/>
        <w:jc w:val="both"/>
        <w:rPr>
          <w:rFonts w:ascii="Verdana" w:hAnsi="Verdana" w:cs="Tahoma"/>
          <w:b/>
          <w:sz w:val="21"/>
          <w:szCs w:val="21"/>
        </w:rPr>
      </w:pPr>
      <w:r w:rsidRPr="001D2B7B">
        <w:rPr>
          <w:rFonts w:ascii="Verdana" w:hAnsi="Verdana" w:cs="Tahoma"/>
          <w:b/>
          <w:sz w:val="21"/>
          <w:szCs w:val="21"/>
        </w:rPr>
        <w:t>TITULAR EJECUTIVO DE LA UNIDAD DE TRANSPARENCIA</w:t>
      </w:r>
      <w:r w:rsidR="00436E60" w:rsidRPr="001D2B7B">
        <w:rPr>
          <w:rFonts w:ascii="Verdana" w:hAnsi="Verdana" w:cs="Tahoma"/>
          <w:b/>
          <w:sz w:val="21"/>
          <w:szCs w:val="21"/>
        </w:rPr>
        <w:t>.-</w:t>
      </w:r>
    </w:p>
    <w:p w:rsidR="00D74F0C" w:rsidRPr="00966D90" w:rsidRDefault="00D74F0C" w:rsidP="00876146">
      <w:pPr>
        <w:ind w:right="-284"/>
        <w:jc w:val="both"/>
        <w:rPr>
          <w:rFonts w:ascii="Verdana" w:hAnsi="Verdana" w:cs="Tahoma"/>
          <w:sz w:val="22"/>
          <w:szCs w:val="22"/>
        </w:rPr>
      </w:pPr>
    </w:p>
    <w:p w:rsidR="003B6EA2" w:rsidRPr="003B6EA2" w:rsidRDefault="003B6EA2" w:rsidP="003B6EA2">
      <w:pPr>
        <w:ind w:left="-426" w:right="-285"/>
        <w:jc w:val="both"/>
        <w:rPr>
          <w:rFonts w:ascii="Verdana" w:hAnsi="Verdana" w:cs="Tahoma"/>
          <w:sz w:val="22"/>
          <w:szCs w:val="22"/>
        </w:rPr>
      </w:pPr>
      <w:r>
        <w:rPr>
          <w:rFonts w:ascii="Verdana" w:hAnsi="Verdana" w:cs="Tahoma"/>
          <w:sz w:val="22"/>
          <w:szCs w:val="22"/>
        </w:rPr>
        <w:t>E</w:t>
      </w:r>
      <w:r w:rsidRPr="003B6EA2">
        <w:rPr>
          <w:rFonts w:ascii="Verdana" w:hAnsi="Verdana" w:cs="Tahoma"/>
          <w:sz w:val="22"/>
          <w:szCs w:val="22"/>
        </w:rPr>
        <w:t>n atención a lo solicitado</w:t>
      </w:r>
      <w:r>
        <w:rPr>
          <w:rFonts w:ascii="Verdana" w:hAnsi="Verdana" w:cs="Tahoma"/>
          <w:sz w:val="22"/>
          <w:szCs w:val="22"/>
        </w:rPr>
        <w:t xml:space="preserve"> mediante oficio</w:t>
      </w:r>
      <w:r w:rsidRPr="003B6EA2">
        <w:rPr>
          <w:rFonts w:ascii="Verdana" w:hAnsi="Verdana" w:cs="Tahoma"/>
          <w:sz w:val="22"/>
          <w:szCs w:val="22"/>
        </w:rPr>
        <w:t xml:space="preserve"> UTIE</w:t>
      </w:r>
      <w:r>
        <w:rPr>
          <w:rFonts w:ascii="Verdana" w:hAnsi="Verdana" w:cs="Tahoma"/>
          <w:sz w:val="22"/>
          <w:szCs w:val="22"/>
        </w:rPr>
        <w:t>EBC/230/2016</w:t>
      </w:r>
      <w:r w:rsidRPr="003B6EA2">
        <w:rPr>
          <w:rFonts w:ascii="Verdana" w:hAnsi="Verdana" w:cs="Tahoma"/>
          <w:sz w:val="22"/>
          <w:szCs w:val="22"/>
        </w:rPr>
        <w:t xml:space="preserve">, una vez que se </w:t>
      </w:r>
      <w:r>
        <w:rPr>
          <w:rFonts w:ascii="Verdana" w:hAnsi="Verdana" w:cs="Tahoma"/>
          <w:sz w:val="22"/>
          <w:szCs w:val="22"/>
        </w:rPr>
        <w:t xml:space="preserve">procedió </w:t>
      </w:r>
      <w:r w:rsidRPr="003B6EA2">
        <w:rPr>
          <w:rFonts w:ascii="Verdana" w:hAnsi="Verdana" w:cs="Tahoma"/>
          <w:sz w:val="22"/>
          <w:szCs w:val="22"/>
        </w:rPr>
        <w:t>al análisis de l</w:t>
      </w:r>
      <w:r>
        <w:rPr>
          <w:rFonts w:ascii="Verdana" w:hAnsi="Verdana" w:cs="Tahoma"/>
          <w:sz w:val="22"/>
          <w:szCs w:val="22"/>
        </w:rPr>
        <w:t xml:space="preserve">os cuestionamientos formulados a través de </w:t>
      </w:r>
      <w:r w:rsidRPr="003B6EA2">
        <w:rPr>
          <w:rFonts w:ascii="Verdana" w:hAnsi="Verdana" w:cs="Tahoma"/>
          <w:sz w:val="22"/>
          <w:szCs w:val="22"/>
        </w:rPr>
        <w:t xml:space="preserve">la solicitud de acceso a la información identificada con </w:t>
      </w:r>
      <w:r>
        <w:rPr>
          <w:rFonts w:ascii="Verdana" w:hAnsi="Verdana" w:cs="Tahoma"/>
          <w:sz w:val="22"/>
          <w:szCs w:val="22"/>
        </w:rPr>
        <w:t>número de folio 000161</w:t>
      </w:r>
      <w:r w:rsidRPr="003B6EA2">
        <w:rPr>
          <w:rFonts w:ascii="Verdana" w:hAnsi="Verdana" w:cs="Tahoma"/>
          <w:sz w:val="22"/>
          <w:szCs w:val="22"/>
        </w:rPr>
        <w:t xml:space="preserve">; me permito dar respuesta en el mismo orden en que </w:t>
      </w:r>
      <w:r>
        <w:rPr>
          <w:rFonts w:ascii="Verdana" w:hAnsi="Verdana" w:cs="Tahoma"/>
          <w:sz w:val="22"/>
          <w:szCs w:val="22"/>
        </w:rPr>
        <w:t>fueron planteados,</w:t>
      </w:r>
      <w:r w:rsidRPr="003B6EA2">
        <w:rPr>
          <w:rFonts w:ascii="Verdana" w:hAnsi="Verdana" w:cs="Tahoma"/>
          <w:sz w:val="22"/>
          <w:szCs w:val="22"/>
        </w:rPr>
        <w:t xml:space="preserve"> en los términos siguientes:</w:t>
      </w:r>
    </w:p>
    <w:p w:rsidR="003B6EA2" w:rsidRDefault="003B6EA2" w:rsidP="00A32FC7">
      <w:pPr>
        <w:ind w:left="-426" w:right="-285"/>
        <w:jc w:val="both"/>
        <w:rPr>
          <w:rFonts w:ascii="Verdana" w:hAnsi="Verdana" w:cs="Tahoma"/>
          <w:sz w:val="22"/>
          <w:szCs w:val="22"/>
        </w:rPr>
      </w:pPr>
    </w:p>
    <w:p w:rsidR="00606AAD" w:rsidRDefault="00756236" w:rsidP="00606AAD">
      <w:pPr>
        <w:ind w:left="-426" w:right="-285"/>
        <w:jc w:val="both"/>
        <w:rPr>
          <w:rFonts w:ascii="Verdana" w:hAnsi="Verdana" w:cs="Tahoma"/>
          <w:i/>
          <w:sz w:val="22"/>
          <w:szCs w:val="22"/>
        </w:rPr>
      </w:pPr>
      <w:r w:rsidRPr="00756236">
        <w:rPr>
          <w:rFonts w:ascii="Verdana" w:hAnsi="Verdana" w:cs="Tahoma"/>
          <w:i/>
          <w:sz w:val="22"/>
          <w:szCs w:val="22"/>
        </w:rPr>
        <w:t>“Solicito el total de quejas presentadas en el año 2015 y 2016 con el acuerdo respectivo que le recayó a las mismas donde se desprenda las partes y motivo de éstas”.</w:t>
      </w:r>
    </w:p>
    <w:p w:rsidR="00606AAD" w:rsidRDefault="00606AAD" w:rsidP="00606AAD">
      <w:pPr>
        <w:ind w:left="-426" w:right="-285"/>
        <w:jc w:val="both"/>
        <w:rPr>
          <w:rFonts w:ascii="Verdana" w:hAnsi="Verdana" w:cs="Tahoma"/>
          <w:i/>
          <w:sz w:val="22"/>
          <w:szCs w:val="22"/>
        </w:rPr>
      </w:pPr>
    </w:p>
    <w:p w:rsidR="00C136ED" w:rsidRPr="00606AAD" w:rsidRDefault="00606AAD" w:rsidP="00606AAD">
      <w:pPr>
        <w:ind w:left="-426" w:right="-285"/>
        <w:jc w:val="both"/>
        <w:rPr>
          <w:rFonts w:ascii="Verdana" w:hAnsi="Verdana" w:cs="Tahoma"/>
          <w:i/>
          <w:sz w:val="22"/>
          <w:szCs w:val="22"/>
        </w:rPr>
      </w:pPr>
      <w:r>
        <w:rPr>
          <w:rFonts w:ascii="Verdana" w:hAnsi="Verdana" w:cs="Tahoma"/>
          <w:sz w:val="22"/>
          <w:szCs w:val="22"/>
        </w:rPr>
        <w:t xml:space="preserve">A. </w:t>
      </w:r>
      <w:r w:rsidR="00FF35FF" w:rsidRPr="00606AAD">
        <w:rPr>
          <w:rFonts w:ascii="Verdana" w:hAnsi="Verdana" w:cs="Tahoma"/>
          <w:sz w:val="22"/>
          <w:szCs w:val="22"/>
        </w:rPr>
        <w:t>En el año 2015, se</w:t>
      </w:r>
      <w:r w:rsidRPr="00606AAD">
        <w:rPr>
          <w:rFonts w:ascii="Verdana" w:hAnsi="Verdana" w:cs="Tahoma"/>
          <w:sz w:val="22"/>
          <w:szCs w:val="22"/>
        </w:rPr>
        <w:t xml:space="preserve"> atendieron</w:t>
      </w:r>
      <w:r w:rsidR="00FF35FF" w:rsidRPr="00606AAD">
        <w:rPr>
          <w:rFonts w:ascii="Verdana" w:hAnsi="Verdana" w:cs="Tahoma"/>
          <w:sz w:val="22"/>
          <w:szCs w:val="22"/>
        </w:rPr>
        <w:t xml:space="preserve"> 2 quejas</w:t>
      </w:r>
      <w:r w:rsidRPr="00606AAD">
        <w:rPr>
          <w:rFonts w:ascii="Verdana" w:hAnsi="Verdana" w:cs="Tahoma"/>
          <w:sz w:val="22"/>
          <w:szCs w:val="22"/>
        </w:rPr>
        <w:t xml:space="preserve">, una que fue presentada directamente ante la Comisión de Control Interno y otra que se turnó por parte de la Comisión de Quejas y Denuncias. </w:t>
      </w:r>
      <w:r w:rsidR="00FF35FF" w:rsidRPr="00606AAD">
        <w:rPr>
          <w:rFonts w:ascii="Verdana" w:hAnsi="Verdana" w:cs="Tahoma"/>
          <w:sz w:val="22"/>
          <w:szCs w:val="22"/>
        </w:rPr>
        <w:t xml:space="preserve">Por cuanto hace al año 2016, </w:t>
      </w:r>
      <w:r w:rsidRPr="00606AAD">
        <w:rPr>
          <w:rFonts w:ascii="Verdana" w:hAnsi="Verdana" w:cs="Tahoma"/>
          <w:sz w:val="22"/>
          <w:szCs w:val="22"/>
        </w:rPr>
        <w:t xml:space="preserve">a </w:t>
      </w:r>
      <w:r w:rsidR="00FF35FF" w:rsidRPr="00606AAD">
        <w:rPr>
          <w:rFonts w:ascii="Verdana" w:hAnsi="Verdana" w:cs="Tahoma"/>
          <w:sz w:val="22"/>
          <w:szCs w:val="22"/>
        </w:rPr>
        <w:t>la fecha no</w:t>
      </w:r>
      <w:r w:rsidRPr="00606AAD">
        <w:rPr>
          <w:rFonts w:ascii="Verdana" w:hAnsi="Verdana" w:cs="Tahoma"/>
          <w:sz w:val="22"/>
          <w:szCs w:val="22"/>
        </w:rPr>
        <w:t xml:space="preserve"> ha sido recibida</w:t>
      </w:r>
      <w:r w:rsidR="00FF35FF" w:rsidRPr="00606AAD">
        <w:rPr>
          <w:rFonts w:ascii="Verdana" w:hAnsi="Verdana" w:cs="Tahoma"/>
          <w:sz w:val="22"/>
          <w:szCs w:val="22"/>
        </w:rPr>
        <w:t xml:space="preserve"> para su atención queja alguna</w:t>
      </w:r>
      <w:r>
        <w:rPr>
          <w:rFonts w:ascii="Verdana" w:hAnsi="Verdana" w:cs="Tahoma"/>
          <w:sz w:val="22"/>
          <w:szCs w:val="22"/>
        </w:rPr>
        <w:t>, informándose además que</w:t>
      </w:r>
      <w:r>
        <w:rPr>
          <w:rFonts w:ascii="Verdana" w:hAnsi="Verdana" w:cs="Tahoma"/>
          <w:i/>
          <w:sz w:val="22"/>
          <w:szCs w:val="22"/>
        </w:rPr>
        <w:t xml:space="preserve"> </w:t>
      </w:r>
      <w:r>
        <w:rPr>
          <w:rFonts w:ascii="Verdana" w:hAnsi="Verdana" w:cs="Tahoma"/>
          <w:sz w:val="22"/>
          <w:szCs w:val="22"/>
        </w:rPr>
        <w:t>d</w:t>
      </w:r>
      <w:r w:rsidR="00C136ED" w:rsidRPr="00333331">
        <w:rPr>
          <w:rFonts w:ascii="Verdana" w:hAnsi="Verdana" w:cs="Tahoma"/>
          <w:sz w:val="22"/>
          <w:szCs w:val="22"/>
        </w:rPr>
        <w:t xml:space="preserve">urante el periodo que señala no se </w:t>
      </w:r>
      <w:r w:rsidR="00D95627">
        <w:rPr>
          <w:rFonts w:ascii="Verdana" w:hAnsi="Verdana" w:cs="Tahoma"/>
          <w:sz w:val="22"/>
          <w:szCs w:val="22"/>
        </w:rPr>
        <w:t xml:space="preserve">presentaron quejas de forma </w:t>
      </w:r>
      <w:r w:rsidR="00C136ED" w:rsidRPr="00333331">
        <w:rPr>
          <w:rFonts w:ascii="Verdana" w:hAnsi="Verdana" w:cs="Tahoma"/>
          <w:sz w:val="22"/>
          <w:szCs w:val="22"/>
        </w:rPr>
        <w:t>extemporánea.</w:t>
      </w:r>
    </w:p>
    <w:p w:rsidR="00C136ED" w:rsidRDefault="00C136ED" w:rsidP="00A32FC7">
      <w:pPr>
        <w:ind w:left="-426" w:right="-285"/>
        <w:jc w:val="both"/>
        <w:rPr>
          <w:rFonts w:ascii="Verdana" w:hAnsi="Verdana" w:cs="Tahoma"/>
          <w:sz w:val="22"/>
          <w:szCs w:val="22"/>
        </w:rPr>
      </w:pPr>
    </w:p>
    <w:p w:rsidR="003B6EA2" w:rsidRDefault="00715FAB" w:rsidP="00333331">
      <w:pPr>
        <w:ind w:left="-426" w:right="-285"/>
        <w:jc w:val="both"/>
        <w:rPr>
          <w:rFonts w:ascii="Verdana" w:hAnsi="Verdana" w:cs="Tahoma"/>
          <w:sz w:val="22"/>
          <w:szCs w:val="22"/>
        </w:rPr>
      </w:pPr>
      <w:r>
        <w:rPr>
          <w:rFonts w:ascii="Verdana" w:hAnsi="Verdana" w:cs="Tahoma"/>
          <w:sz w:val="22"/>
          <w:szCs w:val="22"/>
        </w:rPr>
        <w:t>B. No existe un criterio o normatividad a</w:t>
      </w:r>
      <w:r w:rsidRPr="00715FAB">
        <w:rPr>
          <w:rFonts w:ascii="Verdana" w:hAnsi="Verdana" w:cs="Tahoma"/>
          <w:sz w:val="22"/>
          <w:szCs w:val="22"/>
        </w:rPr>
        <w:t>l</w:t>
      </w:r>
      <w:r>
        <w:rPr>
          <w:rFonts w:ascii="Verdana" w:hAnsi="Verdana" w:cs="Tahoma"/>
          <w:sz w:val="22"/>
          <w:szCs w:val="22"/>
        </w:rPr>
        <w:t xml:space="preserve"> cual esté sujeto</w:t>
      </w:r>
      <w:r w:rsidRPr="00715FAB">
        <w:rPr>
          <w:rFonts w:ascii="Verdana" w:hAnsi="Verdana" w:cs="Tahoma"/>
          <w:sz w:val="22"/>
          <w:szCs w:val="22"/>
        </w:rPr>
        <w:t xml:space="preserve"> </w:t>
      </w:r>
      <w:r>
        <w:rPr>
          <w:rFonts w:ascii="Verdana" w:hAnsi="Verdana" w:cs="Tahoma"/>
          <w:sz w:val="22"/>
          <w:szCs w:val="22"/>
        </w:rPr>
        <w:t>el Departamento de Control Interno para la integración de la investigación administrativa</w:t>
      </w:r>
      <w:r w:rsidR="00C136ED">
        <w:rPr>
          <w:rFonts w:ascii="Verdana" w:hAnsi="Verdana" w:cs="Tahoma"/>
          <w:sz w:val="22"/>
          <w:szCs w:val="22"/>
        </w:rPr>
        <w:t>.</w:t>
      </w:r>
    </w:p>
    <w:p w:rsidR="00333331" w:rsidRDefault="00333331" w:rsidP="00333331">
      <w:pPr>
        <w:ind w:left="-426" w:right="-285"/>
        <w:jc w:val="both"/>
        <w:rPr>
          <w:rFonts w:ascii="Verdana" w:hAnsi="Verdana" w:cs="Tahoma"/>
          <w:sz w:val="22"/>
          <w:szCs w:val="22"/>
        </w:rPr>
      </w:pPr>
    </w:p>
    <w:p w:rsidR="00333331" w:rsidRDefault="00333331" w:rsidP="00333331">
      <w:pPr>
        <w:ind w:left="-426" w:right="-285"/>
        <w:jc w:val="both"/>
        <w:rPr>
          <w:rFonts w:ascii="Verdana" w:hAnsi="Verdana" w:cs="Tahoma"/>
          <w:sz w:val="22"/>
          <w:szCs w:val="22"/>
        </w:rPr>
      </w:pPr>
      <w:r w:rsidRPr="00333331">
        <w:rPr>
          <w:rFonts w:ascii="Verdana" w:hAnsi="Verdana" w:cs="Tahoma"/>
          <w:sz w:val="22"/>
          <w:szCs w:val="22"/>
        </w:rPr>
        <w:t>C.</w:t>
      </w:r>
      <w:r>
        <w:rPr>
          <w:rFonts w:ascii="Verdana" w:hAnsi="Verdana" w:cs="Tahoma"/>
          <w:sz w:val="22"/>
          <w:szCs w:val="22"/>
        </w:rPr>
        <w:t xml:space="preserve"> </w:t>
      </w:r>
      <w:r w:rsidR="00D95627">
        <w:rPr>
          <w:rFonts w:ascii="Verdana" w:hAnsi="Verdana" w:cs="Tahoma"/>
          <w:sz w:val="22"/>
          <w:szCs w:val="22"/>
        </w:rPr>
        <w:t>Ninguna.</w:t>
      </w:r>
    </w:p>
    <w:p w:rsidR="00333331" w:rsidRDefault="00333331" w:rsidP="00333331">
      <w:pPr>
        <w:ind w:left="-426" w:right="-285"/>
        <w:jc w:val="both"/>
        <w:rPr>
          <w:rFonts w:ascii="Verdana" w:hAnsi="Verdana" w:cs="Tahoma"/>
          <w:sz w:val="22"/>
          <w:szCs w:val="22"/>
        </w:rPr>
      </w:pPr>
    </w:p>
    <w:p w:rsidR="00333331" w:rsidRDefault="004C4EBF" w:rsidP="00333331">
      <w:pPr>
        <w:ind w:left="-426" w:right="-285"/>
        <w:jc w:val="both"/>
        <w:rPr>
          <w:rFonts w:ascii="Verdana" w:hAnsi="Verdana" w:cs="Tahoma"/>
          <w:sz w:val="22"/>
          <w:szCs w:val="22"/>
        </w:rPr>
      </w:pPr>
      <w:r>
        <w:rPr>
          <w:rFonts w:ascii="Verdana" w:hAnsi="Verdana" w:cs="Tahoma"/>
          <w:sz w:val="22"/>
          <w:szCs w:val="22"/>
        </w:rPr>
        <w:t>D. Ninguna</w:t>
      </w:r>
      <w:r w:rsidR="00540F2F">
        <w:rPr>
          <w:rFonts w:ascii="Verdana" w:hAnsi="Verdana" w:cs="Tahoma"/>
          <w:sz w:val="22"/>
          <w:szCs w:val="22"/>
        </w:rPr>
        <w:t>.</w:t>
      </w:r>
    </w:p>
    <w:p w:rsidR="00333331" w:rsidRDefault="00333331" w:rsidP="00333331">
      <w:pPr>
        <w:ind w:left="-426" w:right="-285"/>
        <w:jc w:val="both"/>
        <w:rPr>
          <w:rFonts w:ascii="Verdana" w:hAnsi="Verdana" w:cs="Tahoma"/>
          <w:sz w:val="22"/>
          <w:szCs w:val="22"/>
        </w:rPr>
      </w:pPr>
    </w:p>
    <w:p w:rsidR="00333331" w:rsidRDefault="00333331" w:rsidP="00333331">
      <w:pPr>
        <w:ind w:left="-426" w:right="-285"/>
        <w:jc w:val="both"/>
        <w:rPr>
          <w:rFonts w:ascii="Verdana" w:hAnsi="Verdana" w:cs="Tahoma"/>
          <w:sz w:val="22"/>
          <w:szCs w:val="22"/>
        </w:rPr>
      </w:pPr>
      <w:r>
        <w:rPr>
          <w:rFonts w:ascii="Verdana" w:hAnsi="Verdana" w:cs="Tahoma"/>
          <w:sz w:val="22"/>
          <w:szCs w:val="22"/>
        </w:rPr>
        <w:t>E. En el año 2015 se presentaron dos quejas</w:t>
      </w:r>
      <w:r w:rsidR="00D95627">
        <w:rPr>
          <w:rFonts w:ascii="Verdana" w:hAnsi="Verdana" w:cs="Tahoma"/>
          <w:sz w:val="22"/>
          <w:szCs w:val="22"/>
        </w:rPr>
        <w:t xml:space="preserve">, una de manera directa ante la Comisión de Control Interno, y otra que fue turnada por la Comisión de Quejas y Denuncias, las cuales </w:t>
      </w:r>
      <w:r>
        <w:rPr>
          <w:rFonts w:ascii="Verdana" w:hAnsi="Verdana" w:cs="Tahoma"/>
          <w:sz w:val="22"/>
          <w:szCs w:val="22"/>
        </w:rPr>
        <w:t>no cumplieron</w:t>
      </w:r>
      <w:r w:rsidR="002D6C1F">
        <w:rPr>
          <w:rFonts w:ascii="Verdana" w:hAnsi="Verdana" w:cs="Tahoma"/>
          <w:sz w:val="22"/>
          <w:szCs w:val="22"/>
        </w:rPr>
        <w:t xml:space="preserve"> con los requisitos que exige la Ley Electoral para su presentación</w:t>
      </w:r>
      <w:r>
        <w:rPr>
          <w:rFonts w:ascii="Verdana" w:hAnsi="Verdana" w:cs="Tahoma"/>
          <w:sz w:val="22"/>
          <w:szCs w:val="22"/>
        </w:rPr>
        <w:t>.</w:t>
      </w:r>
    </w:p>
    <w:p w:rsidR="00333331" w:rsidRDefault="00333331" w:rsidP="00333331">
      <w:pPr>
        <w:ind w:left="-426" w:right="-285"/>
        <w:jc w:val="both"/>
        <w:rPr>
          <w:rFonts w:ascii="Verdana" w:hAnsi="Verdana" w:cs="Tahoma"/>
          <w:sz w:val="22"/>
          <w:szCs w:val="22"/>
        </w:rPr>
      </w:pPr>
    </w:p>
    <w:p w:rsidR="002D6C1F" w:rsidRPr="002D6C1F" w:rsidRDefault="00333331" w:rsidP="002D6C1F">
      <w:pPr>
        <w:ind w:left="-426" w:right="-285"/>
        <w:jc w:val="both"/>
        <w:rPr>
          <w:rFonts w:ascii="Verdana" w:hAnsi="Verdana" w:cs="Tahoma"/>
          <w:sz w:val="22"/>
          <w:szCs w:val="22"/>
        </w:rPr>
      </w:pPr>
      <w:r>
        <w:rPr>
          <w:rFonts w:ascii="Verdana" w:hAnsi="Verdana" w:cs="Tahoma"/>
          <w:sz w:val="22"/>
          <w:szCs w:val="22"/>
        </w:rPr>
        <w:t>F. En el año 2015 se presentaron dos quejas</w:t>
      </w:r>
      <w:r w:rsidR="00E76333">
        <w:rPr>
          <w:rFonts w:ascii="Verdana" w:hAnsi="Verdana" w:cs="Tahoma"/>
          <w:sz w:val="22"/>
          <w:szCs w:val="22"/>
        </w:rPr>
        <w:t>,</w:t>
      </w:r>
      <w:r>
        <w:rPr>
          <w:rFonts w:ascii="Verdana" w:hAnsi="Verdana" w:cs="Tahoma"/>
          <w:sz w:val="22"/>
          <w:szCs w:val="22"/>
        </w:rPr>
        <w:t xml:space="preserve"> </w:t>
      </w:r>
      <w:r w:rsidR="002D6C1F" w:rsidRPr="002D6C1F">
        <w:rPr>
          <w:rFonts w:ascii="Verdana" w:hAnsi="Verdana" w:cs="Tahoma"/>
          <w:sz w:val="22"/>
          <w:szCs w:val="22"/>
        </w:rPr>
        <w:t>una presentada directamente ante la Comisión de Control Interno, y otra que fue turnada para su atención por la Comisión de Quejas y Denuncias.</w:t>
      </w:r>
    </w:p>
    <w:p w:rsidR="00333331" w:rsidRDefault="00333331" w:rsidP="002D63F5">
      <w:pPr>
        <w:ind w:right="-285"/>
        <w:jc w:val="both"/>
        <w:rPr>
          <w:rFonts w:ascii="Verdana" w:hAnsi="Verdana" w:cs="Tahoma"/>
          <w:sz w:val="22"/>
          <w:szCs w:val="22"/>
        </w:rPr>
      </w:pPr>
    </w:p>
    <w:p w:rsidR="00292192" w:rsidRDefault="00292192" w:rsidP="00333331">
      <w:pPr>
        <w:ind w:left="-426" w:right="-285"/>
        <w:jc w:val="both"/>
        <w:rPr>
          <w:rFonts w:ascii="Verdana" w:hAnsi="Verdana" w:cs="Tahoma"/>
          <w:sz w:val="22"/>
          <w:szCs w:val="22"/>
        </w:rPr>
      </w:pPr>
      <w:r>
        <w:rPr>
          <w:rFonts w:ascii="Verdana" w:hAnsi="Verdana" w:cs="Tahoma"/>
          <w:sz w:val="22"/>
          <w:szCs w:val="22"/>
        </w:rPr>
        <w:t xml:space="preserve">G. </w:t>
      </w:r>
      <w:r w:rsidR="002D63F5">
        <w:rPr>
          <w:rFonts w:ascii="Verdana" w:hAnsi="Verdana" w:cs="Tahoma"/>
          <w:sz w:val="22"/>
          <w:szCs w:val="22"/>
        </w:rPr>
        <w:t>En el año 2015</w:t>
      </w:r>
      <w:r w:rsidR="002D6C1F">
        <w:rPr>
          <w:rFonts w:ascii="Verdana" w:hAnsi="Verdana" w:cs="Tahoma"/>
          <w:sz w:val="22"/>
          <w:szCs w:val="22"/>
        </w:rPr>
        <w:t xml:space="preserve"> se tuvieron por no presentadas dos quejas.</w:t>
      </w:r>
    </w:p>
    <w:p w:rsidR="00FF35FF" w:rsidRDefault="00FF35FF" w:rsidP="00A32FC7">
      <w:pPr>
        <w:ind w:left="-426" w:right="-285"/>
        <w:jc w:val="both"/>
        <w:rPr>
          <w:rFonts w:ascii="Verdana" w:hAnsi="Verdana" w:cs="Tahoma"/>
          <w:sz w:val="22"/>
          <w:szCs w:val="22"/>
        </w:rPr>
      </w:pPr>
    </w:p>
    <w:p w:rsidR="00FF35FF" w:rsidRDefault="00FF35FF" w:rsidP="00FF35FF">
      <w:pPr>
        <w:ind w:left="-426" w:right="-285"/>
        <w:jc w:val="both"/>
        <w:rPr>
          <w:rFonts w:ascii="Verdana" w:hAnsi="Verdana" w:cs="Tahoma"/>
          <w:sz w:val="22"/>
          <w:szCs w:val="22"/>
        </w:rPr>
      </w:pPr>
      <w:r>
        <w:rPr>
          <w:rFonts w:ascii="Verdana" w:hAnsi="Verdana" w:cs="Tahoma"/>
          <w:sz w:val="22"/>
          <w:szCs w:val="22"/>
        </w:rPr>
        <w:lastRenderedPageBreak/>
        <w:t>H. Ninguna.</w:t>
      </w:r>
    </w:p>
    <w:p w:rsidR="00FF35FF" w:rsidRDefault="00FF35FF" w:rsidP="00FF35FF">
      <w:pPr>
        <w:ind w:left="-426" w:right="-285"/>
        <w:jc w:val="both"/>
        <w:rPr>
          <w:rFonts w:ascii="Verdana" w:hAnsi="Verdana" w:cs="Tahoma"/>
          <w:sz w:val="22"/>
          <w:szCs w:val="22"/>
        </w:rPr>
      </w:pPr>
    </w:p>
    <w:p w:rsidR="00FF35FF" w:rsidRPr="00FF35FF" w:rsidRDefault="00FF35FF" w:rsidP="00FF35FF">
      <w:pPr>
        <w:ind w:left="-426" w:right="-285"/>
        <w:jc w:val="both"/>
        <w:rPr>
          <w:rFonts w:ascii="Verdana" w:hAnsi="Verdana" w:cs="Tahoma"/>
          <w:sz w:val="22"/>
          <w:szCs w:val="22"/>
        </w:rPr>
      </w:pPr>
      <w:r>
        <w:rPr>
          <w:rFonts w:ascii="Verdana" w:hAnsi="Verdana" w:cs="Tahoma"/>
          <w:sz w:val="22"/>
          <w:szCs w:val="22"/>
        </w:rPr>
        <w:t>I.</w:t>
      </w:r>
      <w:r w:rsidR="00333331">
        <w:rPr>
          <w:rFonts w:ascii="Verdana" w:hAnsi="Verdana" w:cs="Tahoma"/>
          <w:sz w:val="22"/>
          <w:szCs w:val="22"/>
        </w:rPr>
        <w:t xml:space="preserve"> </w:t>
      </w:r>
      <w:r w:rsidRPr="00FF35FF">
        <w:rPr>
          <w:rFonts w:ascii="Verdana" w:hAnsi="Verdana" w:cs="Tahoma"/>
          <w:sz w:val="22"/>
          <w:szCs w:val="22"/>
        </w:rPr>
        <w:t>Ninguna.</w:t>
      </w:r>
    </w:p>
    <w:p w:rsidR="00FF35FF" w:rsidRDefault="00FF35FF" w:rsidP="00FF35FF">
      <w:pPr>
        <w:ind w:left="-426" w:right="-285"/>
        <w:jc w:val="both"/>
        <w:rPr>
          <w:rFonts w:ascii="Verdana" w:hAnsi="Verdana" w:cs="Tahoma"/>
          <w:sz w:val="22"/>
          <w:szCs w:val="22"/>
        </w:rPr>
      </w:pPr>
    </w:p>
    <w:p w:rsidR="00FF35FF" w:rsidRDefault="003B5A88" w:rsidP="00FF35FF">
      <w:pPr>
        <w:ind w:left="-426" w:right="-285"/>
        <w:jc w:val="both"/>
        <w:rPr>
          <w:rFonts w:ascii="Arial" w:hAnsi="Arial" w:cs="Arial"/>
          <w:lang w:val="es-MX"/>
        </w:rPr>
      </w:pPr>
      <w:r>
        <w:rPr>
          <w:rFonts w:ascii="Verdana" w:hAnsi="Verdana" w:cs="Tahoma"/>
          <w:sz w:val="22"/>
          <w:szCs w:val="22"/>
        </w:rPr>
        <w:t>J.</w:t>
      </w:r>
      <w:r>
        <w:rPr>
          <w:rFonts w:ascii="Arial" w:hAnsi="Arial" w:cs="Arial"/>
          <w:lang w:val="es-MX"/>
        </w:rPr>
        <w:t xml:space="preserve"> </w:t>
      </w:r>
      <w:r w:rsidR="002D63F5">
        <w:rPr>
          <w:rFonts w:ascii="Arial" w:hAnsi="Arial" w:cs="Arial"/>
          <w:lang w:val="es-MX"/>
        </w:rPr>
        <w:t>Conforme a los archivos que obran en este Departamento de Control Interno, la Contraloría General no realizó investigación alguna hasta el 12 de noviembre del año 2015. Por cuanto hace al periodo comprendido de diciembre de 2015 a la fecha, el Departamento de Control Interno no ha realizado investigación alguna.</w:t>
      </w:r>
    </w:p>
    <w:p w:rsidR="002D63F5" w:rsidRPr="002D63F5" w:rsidRDefault="002D63F5" w:rsidP="00FF35FF">
      <w:pPr>
        <w:ind w:left="-426" w:right="-285"/>
        <w:jc w:val="both"/>
        <w:rPr>
          <w:rFonts w:ascii="Verdana" w:hAnsi="Verdana" w:cs="Tahoma"/>
          <w:sz w:val="22"/>
          <w:szCs w:val="22"/>
          <w:lang w:val="es-MX"/>
        </w:rPr>
      </w:pPr>
    </w:p>
    <w:p w:rsidR="004C5A28" w:rsidRDefault="00FF35FF" w:rsidP="004C5A28">
      <w:pPr>
        <w:ind w:left="-426" w:right="-285"/>
        <w:jc w:val="both"/>
        <w:rPr>
          <w:rFonts w:ascii="Verdana" w:hAnsi="Verdana" w:cs="Tahoma"/>
          <w:sz w:val="22"/>
          <w:szCs w:val="22"/>
        </w:rPr>
      </w:pPr>
      <w:r>
        <w:rPr>
          <w:rFonts w:ascii="Verdana" w:hAnsi="Verdana" w:cs="Tahoma"/>
          <w:sz w:val="22"/>
          <w:szCs w:val="22"/>
        </w:rPr>
        <w:t xml:space="preserve">K. </w:t>
      </w:r>
      <w:r w:rsidR="004C5A28">
        <w:rPr>
          <w:rFonts w:ascii="Verdana" w:hAnsi="Verdana" w:cs="Tahoma"/>
          <w:sz w:val="22"/>
          <w:szCs w:val="22"/>
        </w:rPr>
        <w:t>No existe un procedimiento establecido para tener por presentada, no presentada, proc</w:t>
      </w:r>
      <w:r w:rsidR="00A01ABC">
        <w:rPr>
          <w:rFonts w:ascii="Verdana" w:hAnsi="Verdana" w:cs="Tahoma"/>
          <w:sz w:val="22"/>
          <w:szCs w:val="22"/>
        </w:rPr>
        <w:t>edente o improcedente una queja;</w:t>
      </w:r>
      <w:r w:rsidR="004C5A28">
        <w:rPr>
          <w:rFonts w:ascii="Verdana" w:hAnsi="Verdana" w:cs="Tahoma"/>
          <w:sz w:val="22"/>
          <w:szCs w:val="22"/>
        </w:rPr>
        <w:t xml:space="preserve"> sin embargo, u</w:t>
      </w:r>
      <w:r w:rsidR="00C55E17">
        <w:rPr>
          <w:rFonts w:ascii="Verdana" w:hAnsi="Verdana" w:cs="Tahoma"/>
          <w:sz w:val="22"/>
          <w:szCs w:val="22"/>
        </w:rPr>
        <w:t>na ve</w:t>
      </w:r>
      <w:r w:rsidR="00A01ABC">
        <w:rPr>
          <w:rFonts w:ascii="Verdana" w:hAnsi="Verdana" w:cs="Tahoma"/>
          <w:sz w:val="22"/>
          <w:szCs w:val="22"/>
        </w:rPr>
        <w:t>z recibida una queja o denuncia</w:t>
      </w:r>
      <w:r w:rsidR="00C55E17">
        <w:rPr>
          <w:rFonts w:ascii="Verdana" w:hAnsi="Verdana" w:cs="Tahoma"/>
          <w:sz w:val="22"/>
          <w:szCs w:val="22"/>
        </w:rPr>
        <w:t xml:space="preserve"> se procede al análisis del documento para verificar</w:t>
      </w:r>
      <w:r w:rsidR="00A01ABC">
        <w:rPr>
          <w:rFonts w:ascii="Verdana" w:hAnsi="Verdana" w:cs="Tahoma"/>
          <w:sz w:val="22"/>
          <w:szCs w:val="22"/>
        </w:rPr>
        <w:t>,</w:t>
      </w:r>
      <w:r w:rsidR="00C55E17">
        <w:rPr>
          <w:rFonts w:ascii="Verdana" w:hAnsi="Verdana" w:cs="Tahoma"/>
          <w:sz w:val="22"/>
          <w:szCs w:val="22"/>
        </w:rPr>
        <w:t xml:space="preserve"> en primer término</w:t>
      </w:r>
      <w:r w:rsidR="00A01ABC">
        <w:rPr>
          <w:rFonts w:ascii="Verdana" w:hAnsi="Verdana" w:cs="Tahoma"/>
          <w:sz w:val="22"/>
          <w:szCs w:val="22"/>
        </w:rPr>
        <w:t>,</w:t>
      </w:r>
      <w:r w:rsidR="00C55E17">
        <w:rPr>
          <w:rFonts w:ascii="Verdana" w:hAnsi="Verdana" w:cs="Tahoma"/>
          <w:sz w:val="22"/>
          <w:szCs w:val="22"/>
        </w:rPr>
        <w:t xml:space="preserve"> que cumpla con los requisitos legales establecidos en la Ley Electoral</w:t>
      </w:r>
      <w:r w:rsidR="004C5A28">
        <w:rPr>
          <w:rFonts w:ascii="Verdana" w:hAnsi="Verdana" w:cs="Tahoma"/>
          <w:sz w:val="22"/>
          <w:szCs w:val="22"/>
        </w:rPr>
        <w:t>, así como</w:t>
      </w:r>
      <w:r w:rsidR="00C55E17">
        <w:rPr>
          <w:rFonts w:ascii="Verdana" w:hAnsi="Verdana" w:cs="Tahoma"/>
          <w:sz w:val="22"/>
          <w:szCs w:val="22"/>
        </w:rPr>
        <w:t xml:space="preserve"> en la Ley de Responsabilidades de los Servidores Públicos</w:t>
      </w:r>
      <w:r w:rsidR="004C5A28">
        <w:rPr>
          <w:rFonts w:ascii="Verdana" w:hAnsi="Verdana" w:cs="Tahoma"/>
          <w:sz w:val="22"/>
          <w:szCs w:val="22"/>
        </w:rPr>
        <w:t xml:space="preserve"> del Estado de Baja California</w:t>
      </w:r>
      <w:r w:rsidR="00A01ABC">
        <w:rPr>
          <w:rFonts w:ascii="Verdana" w:hAnsi="Verdana" w:cs="Tahoma"/>
          <w:sz w:val="22"/>
          <w:szCs w:val="22"/>
        </w:rPr>
        <w:t>,</w:t>
      </w:r>
      <w:r w:rsidR="004C5A28">
        <w:rPr>
          <w:rFonts w:ascii="Verdana" w:hAnsi="Verdana" w:cs="Tahoma"/>
          <w:sz w:val="22"/>
          <w:szCs w:val="22"/>
        </w:rPr>
        <w:t xml:space="preserve"> de aplicación supletoria</w:t>
      </w:r>
      <w:r w:rsidR="00A01ABC">
        <w:rPr>
          <w:rFonts w:ascii="Verdana" w:hAnsi="Verdana" w:cs="Tahoma"/>
          <w:sz w:val="22"/>
          <w:szCs w:val="22"/>
        </w:rPr>
        <w:t xml:space="preserve"> conforme a lo dispuesto en el artículo 390 de la </w:t>
      </w:r>
      <w:r w:rsidR="00FE3386">
        <w:rPr>
          <w:rFonts w:ascii="Verdana" w:hAnsi="Verdana" w:cs="Tahoma"/>
          <w:sz w:val="22"/>
          <w:szCs w:val="22"/>
        </w:rPr>
        <w:t xml:space="preserve">citada </w:t>
      </w:r>
      <w:r w:rsidR="00A01ABC">
        <w:rPr>
          <w:rFonts w:ascii="Verdana" w:hAnsi="Verdana" w:cs="Tahoma"/>
          <w:sz w:val="22"/>
          <w:szCs w:val="22"/>
        </w:rPr>
        <w:t>Ley Electoral.</w:t>
      </w:r>
    </w:p>
    <w:p w:rsidR="00A01ABC" w:rsidRDefault="00A01ABC" w:rsidP="004C5A28">
      <w:pPr>
        <w:ind w:left="-426" w:right="-285"/>
        <w:jc w:val="both"/>
        <w:rPr>
          <w:rFonts w:ascii="Verdana" w:hAnsi="Verdana" w:cs="Tahoma"/>
          <w:sz w:val="22"/>
          <w:szCs w:val="22"/>
        </w:rPr>
      </w:pPr>
    </w:p>
    <w:p w:rsidR="00FF35FF" w:rsidRDefault="004C5A28" w:rsidP="004C5A28">
      <w:pPr>
        <w:ind w:left="-426" w:right="-285"/>
        <w:jc w:val="both"/>
        <w:rPr>
          <w:rFonts w:ascii="Verdana" w:hAnsi="Verdana" w:cs="Tahoma"/>
          <w:sz w:val="22"/>
          <w:szCs w:val="22"/>
        </w:rPr>
      </w:pPr>
      <w:r>
        <w:rPr>
          <w:rFonts w:ascii="Verdana" w:hAnsi="Verdana" w:cs="Tahoma"/>
          <w:sz w:val="22"/>
          <w:szCs w:val="22"/>
        </w:rPr>
        <w:t xml:space="preserve">Cabe precisar que el </w:t>
      </w:r>
      <w:r w:rsidR="00FF35FF">
        <w:rPr>
          <w:rFonts w:ascii="Verdana" w:hAnsi="Verdana" w:cs="Tahoma"/>
          <w:sz w:val="22"/>
          <w:szCs w:val="22"/>
        </w:rPr>
        <w:t>artículo 392 de la Ley Electoral</w:t>
      </w:r>
      <w:r w:rsidR="00C55E17">
        <w:rPr>
          <w:rFonts w:ascii="Verdana" w:hAnsi="Verdana" w:cs="Tahoma"/>
          <w:sz w:val="22"/>
          <w:szCs w:val="22"/>
        </w:rPr>
        <w:t>,</w:t>
      </w:r>
      <w:r w:rsidR="00FF35FF">
        <w:rPr>
          <w:rFonts w:ascii="Verdana" w:hAnsi="Verdana" w:cs="Tahoma"/>
          <w:sz w:val="22"/>
          <w:szCs w:val="22"/>
        </w:rPr>
        <w:t xml:space="preserve"> </w:t>
      </w:r>
      <w:r>
        <w:rPr>
          <w:rFonts w:ascii="Verdana" w:hAnsi="Verdana" w:cs="Tahoma"/>
          <w:sz w:val="22"/>
          <w:szCs w:val="22"/>
        </w:rPr>
        <w:t xml:space="preserve">dispone que </w:t>
      </w:r>
      <w:r w:rsidR="00C55E17">
        <w:rPr>
          <w:rFonts w:ascii="Verdana" w:hAnsi="Verdana" w:cs="Tahoma"/>
          <w:sz w:val="22"/>
          <w:szCs w:val="22"/>
        </w:rPr>
        <w:t xml:space="preserve">las quejas o denuncias que se presenten de oficio o a </w:t>
      </w:r>
      <w:r w:rsidR="009479D1">
        <w:rPr>
          <w:rFonts w:ascii="Verdana" w:hAnsi="Verdana" w:cs="Tahoma"/>
          <w:sz w:val="22"/>
          <w:szCs w:val="22"/>
        </w:rPr>
        <w:t>petición de parte, deben</w:t>
      </w:r>
      <w:r w:rsidR="00C55E17">
        <w:rPr>
          <w:rFonts w:ascii="Verdana" w:hAnsi="Verdana" w:cs="Tahoma"/>
          <w:sz w:val="22"/>
          <w:szCs w:val="22"/>
        </w:rPr>
        <w:t xml:space="preserve"> estar apoyadas en elementos probatorios suficientes para establecer la existencia de la infracción y presumir la responsabilidad del servidor público denunciado. No serán admisibles quejas o denuncias anónimas.</w:t>
      </w:r>
    </w:p>
    <w:p w:rsidR="00C55E17" w:rsidRDefault="00C55E17" w:rsidP="00FF35FF">
      <w:pPr>
        <w:ind w:left="-426" w:right="-285"/>
        <w:jc w:val="both"/>
        <w:rPr>
          <w:rFonts w:ascii="Verdana" w:hAnsi="Verdana" w:cs="Tahoma"/>
          <w:sz w:val="22"/>
          <w:szCs w:val="22"/>
        </w:rPr>
      </w:pPr>
    </w:p>
    <w:p w:rsidR="00C55E17" w:rsidRDefault="00C55E17" w:rsidP="00FF35FF">
      <w:pPr>
        <w:ind w:left="-426" w:right="-285"/>
        <w:jc w:val="both"/>
        <w:rPr>
          <w:rFonts w:ascii="Verdana" w:hAnsi="Verdana" w:cs="Tahoma"/>
          <w:sz w:val="22"/>
          <w:szCs w:val="22"/>
        </w:rPr>
      </w:pPr>
      <w:r>
        <w:rPr>
          <w:rFonts w:ascii="Verdana" w:hAnsi="Verdana" w:cs="Tahoma"/>
          <w:sz w:val="22"/>
          <w:szCs w:val="22"/>
        </w:rPr>
        <w:t>Ahora bien, según lo dispuesto en la fracción I, del artículo 393</w:t>
      </w:r>
      <w:r w:rsidR="00E76333">
        <w:rPr>
          <w:rFonts w:ascii="Verdana" w:hAnsi="Verdana" w:cs="Tahoma"/>
          <w:sz w:val="22"/>
          <w:szCs w:val="22"/>
        </w:rPr>
        <w:t>,</w:t>
      </w:r>
      <w:r>
        <w:rPr>
          <w:rFonts w:ascii="Verdana" w:hAnsi="Verdana" w:cs="Tahoma"/>
          <w:sz w:val="22"/>
          <w:szCs w:val="22"/>
        </w:rPr>
        <w:t xml:space="preserve"> de la Ley Electoral, son causas de improcedencia de la queja o denuncia las siguientes:</w:t>
      </w:r>
    </w:p>
    <w:p w:rsidR="00C55E17" w:rsidRPr="004C5A28" w:rsidRDefault="00C55E17" w:rsidP="00FF35FF">
      <w:pPr>
        <w:ind w:left="-426" w:right="-285"/>
        <w:jc w:val="both"/>
        <w:rPr>
          <w:rFonts w:ascii="Verdana" w:hAnsi="Verdana" w:cs="Tahoma"/>
          <w:i/>
          <w:sz w:val="22"/>
          <w:szCs w:val="22"/>
        </w:rPr>
      </w:pPr>
    </w:p>
    <w:p w:rsidR="00C55E17" w:rsidRPr="004C5A28" w:rsidRDefault="00C55E17" w:rsidP="004C5A28">
      <w:pPr>
        <w:pStyle w:val="Prrafodelista"/>
        <w:numPr>
          <w:ilvl w:val="0"/>
          <w:numId w:val="11"/>
        </w:numPr>
        <w:ind w:left="0" w:right="-285" w:hanging="426"/>
        <w:jc w:val="both"/>
        <w:rPr>
          <w:rFonts w:ascii="Verdana" w:hAnsi="Verdana" w:cs="Tahoma"/>
          <w:i/>
          <w:sz w:val="22"/>
          <w:szCs w:val="22"/>
        </w:rPr>
      </w:pPr>
      <w:r w:rsidRPr="004C5A28">
        <w:rPr>
          <w:rFonts w:ascii="Verdana" w:hAnsi="Verdana" w:cs="Tahoma"/>
          <w:i/>
          <w:sz w:val="22"/>
          <w:szCs w:val="22"/>
        </w:rPr>
        <w:t>De improcedencia, cuando:</w:t>
      </w:r>
    </w:p>
    <w:p w:rsidR="00C55E17" w:rsidRPr="004C5A28" w:rsidRDefault="00C55E17" w:rsidP="00C55E17">
      <w:pPr>
        <w:pStyle w:val="Prrafodelista"/>
        <w:numPr>
          <w:ilvl w:val="0"/>
          <w:numId w:val="12"/>
        </w:numPr>
        <w:ind w:right="-285"/>
        <w:jc w:val="both"/>
        <w:rPr>
          <w:rFonts w:ascii="Verdana" w:hAnsi="Verdana" w:cs="Tahoma"/>
          <w:i/>
          <w:sz w:val="22"/>
          <w:szCs w:val="22"/>
        </w:rPr>
      </w:pPr>
      <w:r w:rsidRPr="004C5A28">
        <w:rPr>
          <w:rFonts w:ascii="Verdana" w:hAnsi="Verdana" w:cs="Tahoma"/>
          <w:i/>
          <w:sz w:val="22"/>
          <w:szCs w:val="22"/>
        </w:rPr>
        <w:t>Se trate de actos u omisiones imputados a una misma persona que hayan sido materia de otra queja o denuncia ante la Comisión de Control Interno y que cuenten con resolución definitiva;</w:t>
      </w:r>
    </w:p>
    <w:p w:rsidR="00C55E17" w:rsidRPr="004C5A28" w:rsidRDefault="00C55E17" w:rsidP="00C55E17">
      <w:pPr>
        <w:pStyle w:val="Prrafodelista"/>
        <w:numPr>
          <w:ilvl w:val="0"/>
          <w:numId w:val="12"/>
        </w:numPr>
        <w:ind w:right="-285"/>
        <w:jc w:val="both"/>
        <w:rPr>
          <w:rFonts w:ascii="Verdana" w:hAnsi="Verdana" w:cs="Tahoma"/>
          <w:i/>
          <w:sz w:val="22"/>
          <w:szCs w:val="22"/>
        </w:rPr>
      </w:pPr>
      <w:r w:rsidRPr="004C5A28">
        <w:rPr>
          <w:rFonts w:ascii="Verdana" w:hAnsi="Verdana" w:cs="Tahoma"/>
          <w:i/>
          <w:sz w:val="22"/>
          <w:szCs w:val="22"/>
        </w:rPr>
        <w:t>Se denuncien actos u omisiones de los que la Comisión de Control Interno resulte incompetente para conocer, y</w:t>
      </w:r>
    </w:p>
    <w:p w:rsidR="00C55E17" w:rsidRPr="004C5A28" w:rsidRDefault="00C55E17" w:rsidP="00C55E17">
      <w:pPr>
        <w:pStyle w:val="Prrafodelista"/>
        <w:numPr>
          <w:ilvl w:val="0"/>
          <w:numId w:val="12"/>
        </w:numPr>
        <w:ind w:right="-285"/>
        <w:jc w:val="both"/>
        <w:rPr>
          <w:rFonts w:ascii="Verdana" w:hAnsi="Verdana" w:cs="Tahoma"/>
          <w:i/>
          <w:sz w:val="22"/>
          <w:szCs w:val="22"/>
        </w:rPr>
      </w:pPr>
      <w:r w:rsidRPr="004C5A28">
        <w:rPr>
          <w:rFonts w:ascii="Verdana" w:hAnsi="Verdana" w:cs="Tahoma"/>
          <w:i/>
          <w:sz w:val="22"/>
          <w:szCs w:val="22"/>
        </w:rPr>
        <w:t>Los actos u omisiones denunciados no constituyan causas de responsabilidad en términos de este ordenamiento.</w:t>
      </w:r>
    </w:p>
    <w:p w:rsidR="003B6EA2" w:rsidRDefault="003B6EA2" w:rsidP="00A32FC7">
      <w:pPr>
        <w:ind w:left="-426" w:right="-285"/>
        <w:jc w:val="both"/>
        <w:rPr>
          <w:rFonts w:ascii="Verdana" w:hAnsi="Verdana" w:cs="Tahoma"/>
          <w:sz w:val="22"/>
          <w:szCs w:val="22"/>
        </w:rPr>
      </w:pPr>
    </w:p>
    <w:p w:rsidR="003B6EA2" w:rsidRDefault="004C5A28" w:rsidP="00A32FC7">
      <w:pPr>
        <w:ind w:left="-426" w:right="-285"/>
        <w:jc w:val="both"/>
        <w:rPr>
          <w:rFonts w:ascii="Verdana" w:hAnsi="Verdana" w:cs="Tahoma"/>
          <w:sz w:val="22"/>
          <w:szCs w:val="22"/>
        </w:rPr>
      </w:pPr>
      <w:r>
        <w:rPr>
          <w:rFonts w:ascii="Verdana" w:hAnsi="Verdana" w:cs="Tahoma"/>
          <w:sz w:val="22"/>
          <w:szCs w:val="22"/>
        </w:rPr>
        <w:t>Cabe precisar que el último párrafo del referido artículo dispone que el estudio de las causas de improcedencia de la queja o denuncia se realizará de oficio.</w:t>
      </w:r>
    </w:p>
    <w:p w:rsidR="004C5A28" w:rsidRDefault="004C5A28" w:rsidP="00A32FC7">
      <w:pPr>
        <w:ind w:left="-426" w:right="-285"/>
        <w:jc w:val="both"/>
        <w:rPr>
          <w:rFonts w:ascii="Verdana" w:hAnsi="Verdana" w:cs="Tahoma"/>
          <w:sz w:val="22"/>
          <w:szCs w:val="22"/>
        </w:rPr>
      </w:pPr>
    </w:p>
    <w:p w:rsidR="004C5A28" w:rsidRDefault="004C5A28" w:rsidP="00A32FC7">
      <w:pPr>
        <w:ind w:left="-426" w:right="-285"/>
        <w:jc w:val="both"/>
        <w:rPr>
          <w:rFonts w:ascii="Verdana" w:hAnsi="Verdana" w:cs="Tahoma"/>
          <w:sz w:val="22"/>
          <w:szCs w:val="22"/>
        </w:rPr>
      </w:pPr>
      <w:r>
        <w:rPr>
          <w:rFonts w:ascii="Verdana" w:hAnsi="Verdana" w:cs="Tahoma"/>
          <w:sz w:val="22"/>
          <w:szCs w:val="22"/>
        </w:rPr>
        <w:t xml:space="preserve">Por otra parte, el artículo 394, fracción I, establece que las quejas o denuncias que se presenten en contra de cualquier servidor público del Instituto Electoral, deberán presentarse </w:t>
      </w:r>
      <w:r w:rsidR="00FE3386">
        <w:rPr>
          <w:rFonts w:ascii="Verdana" w:hAnsi="Verdana" w:cs="Tahoma"/>
          <w:sz w:val="22"/>
          <w:szCs w:val="22"/>
        </w:rPr>
        <w:t>por escrito ante la Comisión de Control Interno; si encuadra en alguna de las causas de improcedencia y sobreseimiento, dictará el acuerdo correspondiente.</w:t>
      </w:r>
      <w:r w:rsidR="00AD2C07">
        <w:rPr>
          <w:rFonts w:ascii="Verdana" w:hAnsi="Verdana" w:cs="Tahoma"/>
          <w:sz w:val="22"/>
          <w:szCs w:val="22"/>
        </w:rPr>
        <w:t xml:space="preserve"> </w:t>
      </w:r>
    </w:p>
    <w:p w:rsidR="00FE3386" w:rsidRDefault="00FE3386" w:rsidP="00A32FC7">
      <w:pPr>
        <w:ind w:left="-426" w:right="-285"/>
        <w:jc w:val="both"/>
        <w:rPr>
          <w:rFonts w:ascii="Verdana" w:hAnsi="Verdana" w:cs="Tahoma"/>
          <w:sz w:val="22"/>
          <w:szCs w:val="22"/>
        </w:rPr>
      </w:pPr>
    </w:p>
    <w:p w:rsidR="00A01ABC" w:rsidRDefault="00E76333" w:rsidP="00A32FC7">
      <w:pPr>
        <w:ind w:left="-426" w:right="-285"/>
        <w:jc w:val="both"/>
        <w:rPr>
          <w:rFonts w:ascii="Verdana" w:hAnsi="Verdana" w:cs="Tahoma"/>
          <w:sz w:val="22"/>
          <w:szCs w:val="22"/>
        </w:rPr>
      </w:pPr>
      <w:r>
        <w:rPr>
          <w:rFonts w:ascii="Verdana" w:hAnsi="Verdana" w:cs="Tahoma"/>
          <w:sz w:val="22"/>
          <w:szCs w:val="22"/>
        </w:rPr>
        <w:t>Informándose además, que l</w:t>
      </w:r>
      <w:r w:rsidR="00FE3386">
        <w:rPr>
          <w:rFonts w:ascii="Verdana" w:hAnsi="Verdana" w:cs="Tahoma"/>
          <w:sz w:val="22"/>
          <w:szCs w:val="22"/>
        </w:rPr>
        <w:t xml:space="preserve">os acuerdos dictados por la Comisión de Control Interno en el ejercicio de las atribuciones relativas al régimen de responsabilidades </w:t>
      </w:r>
      <w:r w:rsidR="00FE3386">
        <w:rPr>
          <w:rFonts w:ascii="Verdana" w:hAnsi="Verdana" w:cs="Tahoma"/>
          <w:sz w:val="22"/>
          <w:szCs w:val="22"/>
        </w:rPr>
        <w:lastRenderedPageBreak/>
        <w:t>administrativas, no son publicados en el portal de transparencia del Instituto Estatal Electoral</w:t>
      </w:r>
      <w:r w:rsidR="00AD2C07">
        <w:rPr>
          <w:rFonts w:ascii="Verdana" w:hAnsi="Verdana" w:cs="Tahoma"/>
          <w:sz w:val="22"/>
          <w:szCs w:val="22"/>
        </w:rPr>
        <w:t>.</w:t>
      </w:r>
    </w:p>
    <w:p w:rsidR="00A01ABC" w:rsidRDefault="00A01ABC" w:rsidP="00AD2C07">
      <w:pPr>
        <w:ind w:right="-285"/>
        <w:jc w:val="both"/>
        <w:rPr>
          <w:rFonts w:ascii="Verdana" w:hAnsi="Verdana" w:cs="Tahoma"/>
          <w:sz w:val="22"/>
          <w:szCs w:val="22"/>
        </w:rPr>
      </w:pPr>
    </w:p>
    <w:p w:rsidR="00A01ABC" w:rsidRDefault="00AD2C07" w:rsidP="00A32FC7">
      <w:pPr>
        <w:ind w:left="-426" w:right="-285"/>
        <w:jc w:val="both"/>
        <w:rPr>
          <w:rFonts w:ascii="Verdana" w:hAnsi="Verdana" w:cs="Tahoma"/>
          <w:sz w:val="22"/>
          <w:szCs w:val="22"/>
        </w:rPr>
      </w:pPr>
      <w:r>
        <w:rPr>
          <w:rFonts w:ascii="Verdana" w:hAnsi="Verdana" w:cs="Tahoma"/>
          <w:sz w:val="22"/>
          <w:szCs w:val="22"/>
        </w:rPr>
        <w:t xml:space="preserve">L. y M. </w:t>
      </w:r>
      <w:r w:rsidR="00A01ABC">
        <w:rPr>
          <w:rFonts w:ascii="Verdana" w:hAnsi="Verdana" w:cs="Tahoma"/>
          <w:sz w:val="22"/>
          <w:szCs w:val="22"/>
        </w:rPr>
        <w:t>En el portal de transparencia del Instituto Estatal Electora</w:t>
      </w:r>
      <w:r>
        <w:rPr>
          <w:rFonts w:ascii="Verdana" w:hAnsi="Verdana" w:cs="Tahoma"/>
          <w:sz w:val="22"/>
          <w:szCs w:val="22"/>
        </w:rPr>
        <w:t>l</w:t>
      </w:r>
      <w:r w:rsidR="00E76333">
        <w:rPr>
          <w:rFonts w:ascii="Verdana" w:hAnsi="Verdana" w:cs="Tahoma"/>
          <w:sz w:val="22"/>
          <w:szCs w:val="22"/>
        </w:rPr>
        <w:t xml:space="preserve"> de Baja California</w:t>
      </w:r>
      <w:r w:rsidR="00A01ABC">
        <w:rPr>
          <w:rFonts w:ascii="Verdana" w:hAnsi="Verdana" w:cs="Tahoma"/>
          <w:sz w:val="22"/>
          <w:szCs w:val="22"/>
        </w:rPr>
        <w:t>,</w:t>
      </w:r>
      <w:r w:rsidR="00E76333">
        <w:rPr>
          <w:rFonts w:ascii="Verdana" w:hAnsi="Verdana" w:cs="Tahoma"/>
          <w:sz w:val="22"/>
          <w:szCs w:val="22"/>
        </w:rPr>
        <w:t xml:space="preserve"> cuya dirección electrónica es</w:t>
      </w:r>
      <w:r>
        <w:rPr>
          <w:rFonts w:ascii="Verdana" w:hAnsi="Verdana" w:cs="Tahoma"/>
          <w:sz w:val="22"/>
          <w:szCs w:val="22"/>
        </w:rPr>
        <w:t xml:space="preserve"> </w:t>
      </w:r>
      <w:hyperlink r:id="rId8" w:history="1">
        <w:r w:rsidRPr="009347DB">
          <w:rPr>
            <w:rStyle w:val="Hipervnculo"/>
            <w:rFonts w:ascii="Verdana" w:hAnsi="Verdana" w:cs="Tahoma"/>
            <w:sz w:val="22"/>
            <w:szCs w:val="22"/>
          </w:rPr>
          <w:t>http://www.ieebc.mx/transparencia/transparencia.html</w:t>
        </w:r>
      </w:hyperlink>
      <w:r>
        <w:rPr>
          <w:rFonts w:ascii="Verdana" w:hAnsi="Verdana" w:cs="Tahoma"/>
          <w:sz w:val="22"/>
          <w:szCs w:val="22"/>
        </w:rPr>
        <w:t xml:space="preserve">, </w:t>
      </w:r>
      <w:r w:rsidR="00A01ABC">
        <w:rPr>
          <w:rFonts w:ascii="Verdana" w:hAnsi="Verdana" w:cs="Tahoma"/>
          <w:sz w:val="22"/>
          <w:szCs w:val="22"/>
        </w:rPr>
        <w:t xml:space="preserve">en el cual </w:t>
      </w:r>
      <w:r>
        <w:rPr>
          <w:rFonts w:ascii="Verdana" w:hAnsi="Verdana" w:cs="Tahoma"/>
          <w:sz w:val="22"/>
          <w:szCs w:val="22"/>
        </w:rPr>
        <w:t xml:space="preserve">se ponen a disposición del público </w:t>
      </w:r>
      <w:r w:rsidR="00A01ABC">
        <w:rPr>
          <w:rFonts w:ascii="Verdana" w:hAnsi="Verdana" w:cs="Tahoma"/>
          <w:sz w:val="22"/>
          <w:szCs w:val="22"/>
        </w:rPr>
        <w:t>únicamente las resoluciones de los procedimientos de responsabilidad</w:t>
      </w:r>
      <w:r>
        <w:rPr>
          <w:rFonts w:ascii="Verdana" w:hAnsi="Verdana" w:cs="Tahoma"/>
          <w:sz w:val="22"/>
          <w:szCs w:val="22"/>
        </w:rPr>
        <w:t xml:space="preserve"> administrativa</w:t>
      </w:r>
      <w:r w:rsidR="00A01ABC">
        <w:rPr>
          <w:rFonts w:ascii="Verdana" w:hAnsi="Verdana" w:cs="Tahoma"/>
          <w:sz w:val="22"/>
          <w:szCs w:val="22"/>
        </w:rPr>
        <w:t>, una vez que hubieren causado estado</w:t>
      </w:r>
      <w:r w:rsidR="00E76333">
        <w:rPr>
          <w:rFonts w:ascii="Verdana" w:hAnsi="Verdana" w:cs="Tahoma"/>
          <w:sz w:val="22"/>
          <w:szCs w:val="22"/>
        </w:rPr>
        <w:t>, conforme al artículo 11, fracción XIV, de la Ley de Transparencia y Acceso a la In</w:t>
      </w:r>
      <w:r w:rsidR="00455B68">
        <w:rPr>
          <w:rFonts w:ascii="Verdana" w:hAnsi="Verdana" w:cs="Tahoma"/>
          <w:sz w:val="22"/>
          <w:szCs w:val="22"/>
        </w:rPr>
        <w:t>formación Pública para el Estado de Baja California</w:t>
      </w:r>
      <w:r w:rsidR="00A01ABC">
        <w:rPr>
          <w:rFonts w:ascii="Verdana" w:hAnsi="Verdana" w:cs="Tahoma"/>
          <w:sz w:val="22"/>
          <w:szCs w:val="22"/>
        </w:rPr>
        <w:t>.</w:t>
      </w:r>
    </w:p>
    <w:p w:rsidR="00AD2C07" w:rsidRDefault="00AD2C07" w:rsidP="00A32FC7">
      <w:pPr>
        <w:ind w:left="-426" w:right="-285"/>
        <w:jc w:val="both"/>
        <w:rPr>
          <w:rFonts w:ascii="Verdana" w:hAnsi="Verdana" w:cs="Tahoma"/>
          <w:sz w:val="22"/>
          <w:szCs w:val="22"/>
        </w:rPr>
      </w:pPr>
    </w:p>
    <w:p w:rsidR="00A01ABC" w:rsidRDefault="00AD2C07" w:rsidP="00A32FC7">
      <w:pPr>
        <w:ind w:left="-426" w:right="-285"/>
        <w:jc w:val="both"/>
        <w:rPr>
          <w:rFonts w:ascii="Verdana" w:hAnsi="Verdana" w:cs="Tahoma"/>
          <w:sz w:val="22"/>
          <w:szCs w:val="22"/>
        </w:rPr>
      </w:pPr>
      <w:r>
        <w:rPr>
          <w:rFonts w:ascii="Verdana" w:hAnsi="Verdana" w:cs="Tahoma"/>
          <w:sz w:val="22"/>
          <w:szCs w:val="22"/>
        </w:rPr>
        <w:t>N. El Titular Ejecutivo del Departamento de Control Interno.</w:t>
      </w:r>
    </w:p>
    <w:p w:rsidR="00AD2C07" w:rsidRDefault="00AD2C07" w:rsidP="00A32FC7">
      <w:pPr>
        <w:ind w:left="-426" w:right="-285"/>
        <w:jc w:val="both"/>
        <w:rPr>
          <w:rFonts w:ascii="Verdana" w:hAnsi="Verdana" w:cs="Tahoma"/>
          <w:sz w:val="22"/>
          <w:szCs w:val="22"/>
        </w:rPr>
      </w:pPr>
    </w:p>
    <w:p w:rsidR="00AD2C07" w:rsidRDefault="00AD2C07" w:rsidP="00A32FC7">
      <w:pPr>
        <w:ind w:left="-426" w:right="-285"/>
        <w:jc w:val="both"/>
        <w:rPr>
          <w:rFonts w:ascii="Verdana" w:hAnsi="Verdana" w:cs="Tahoma"/>
          <w:sz w:val="22"/>
          <w:szCs w:val="22"/>
        </w:rPr>
      </w:pPr>
      <w:r>
        <w:rPr>
          <w:rFonts w:ascii="Verdana" w:hAnsi="Verdana" w:cs="Tahoma"/>
          <w:sz w:val="22"/>
          <w:szCs w:val="22"/>
        </w:rPr>
        <w:t>O. Artículo 11</w:t>
      </w:r>
      <w:r w:rsidR="00E76333">
        <w:rPr>
          <w:rFonts w:ascii="Verdana" w:hAnsi="Verdana" w:cs="Tahoma"/>
          <w:sz w:val="22"/>
          <w:szCs w:val="22"/>
        </w:rPr>
        <w:t>, fracción XIV,</w:t>
      </w:r>
      <w:r>
        <w:rPr>
          <w:rFonts w:ascii="Verdana" w:hAnsi="Verdana" w:cs="Tahoma"/>
          <w:sz w:val="22"/>
          <w:szCs w:val="22"/>
        </w:rPr>
        <w:t xml:space="preserve"> de la Ley Transparencia </w:t>
      </w:r>
      <w:r w:rsidR="00905B0E">
        <w:rPr>
          <w:rFonts w:ascii="Verdana" w:hAnsi="Verdana" w:cs="Tahoma"/>
          <w:sz w:val="22"/>
          <w:szCs w:val="22"/>
        </w:rPr>
        <w:t>y Acceso a la Información Pública para el Estado de Baja California.</w:t>
      </w:r>
    </w:p>
    <w:p w:rsidR="00A01ABC" w:rsidRDefault="00A01ABC" w:rsidP="00A32FC7">
      <w:pPr>
        <w:ind w:left="-426" w:right="-285"/>
        <w:jc w:val="both"/>
        <w:rPr>
          <w:rFonts w:ascii="Verdana" w:hAnsi="Verdana" w:cs="Tahoma"/>
          <w:sz w:val="22"/>
          <w:szCs w:val="22"/>
        </w:rPr>
      </w:pPr>
    </w:p>
    <w:p w:rsidR="00E76333" w:rsidRDefault="00E76333" w:rsidP="00A32FC7">
      <w:pPr>
        <w:ind w:left="-426" w:right="-285"/>
        <w:jc w:val="both"/>
        <w:rPr>
          <w:rFonts w:ascii="Verdana" w:hAnsi="Verdana" w:cs="Tahoma"/>
          <w:sz w:val="22"/>
          <w:szCs w:val="22"/>
        </w:rPr>
      </w:pPr>
    </w:p>
    <w:p w:rsidR="00905B0E" w:rsidRDefault="00D62BB9" w:rsidP="00A32FC7">
      <w:pPr>
        <w:ind w:left="-426" w:right="-285"/>
        <w:jc w:val="both"/>
        <w:rPr>
          <w:rFonts w:ascii="Verdana" w:hAnsi="Verdana" w:cs="Tahoma"/>
          <w:sz w:val="22"/>
          <w:szCs w:val="22"/>
        </w:rPr>
      </w:pPr>
      <w:r>
        <w:rPr>
          <w:rFonts w:ascii="Verdana" w:hAnsi="Verdana" w:cs="Tahoma"/>
          <w:sz w:val="22"/>
          <w:szCs w:val="22"/>
        </w:rPr>
        <w:t>Asimismo, se</w:t>
      </w:r>
      <w:r w:rsidR="00E76333">
        <w:rPr>
          <w:rFonts w:ascii="Verdana" w:hAnsi="Verdana" w:cs="Tahoma"/>
          <w:sz w:val="22"/>
          <w:szCs w:val="22"/>
        </w:rPr>
        <w:t xml:space="preserve"> remite en </w:t>
      </w:r>
      <w:r>
        <w:rPr>
          <w:rFonts w:ascii="Verdana" w:hAnsi="Verdana" w:cs="Tahoma"/>
          <w:sz w:val="22"/>
          <w:szCs w:val="22"/>
        </w:rPr>
        <w:t xml:space="preserve">archivo adjunto la versión pública de </w:t>
      </w:r>
      <w:r w:rsidR="00E76333">
        <w:rPr>
          <w:rFonts w:ascii="Verdana" w:hAnsi="Verdana" w:cs="Tahoma"/>
          <w:sz w:val="22"/>
          <w:szCs w:val="22"/>
        </w:rPr>
        <w:t>los acuerdos</w:t>
      </w:r>
      <w:r>
        <w:rPr>
          <w:rFonts w:ascii="Verdana" w:hAnsi="Verdana" w:cs="Tahoma"/>
          <w:sz w:val="22"/>
          <w:szCs w:val="22"/>
        </w:rPr>
        <w:t xml:space="preserve"> emitidos por la Comisión de Control Interno, en el ejercicio de las atribuciones relativas al régimen de responsabilidades administrativas.</w:t>
      </w:r>
    </w:p>
    <w:p w:rsidR="00905B0E" w:rsidRDefault="00905B0E" w:rsidP="00A32FC7">
      <w:pPr>
        <w:ind w:left="-426" w:right="-285"/>
        <w:jc w:val="both"/>
        <w:rPr>
          <w:rFonts w:ascii="Verdana" w:hAnsi="Verdana" w:cs="Tahoma"/>
          <w:sz w:val="22"/>
          <w:szCs w:val="22"/>
        </w:rPr>
      </w:pPr>
    </w:p>
    <w:p w:rsidR="00D62BB9" w:rsidRDefault="00D62BB9" w:rsidP="00A32FC7">
      <w:pPr>
        <w:ind w:left="-426" w:right="-285"/>
        <w:jc w:val="both"/>
        <w:rPr>
          <w:rFonts w:ascii="Verdana" w:hAnsi="Verdana" w:cs="Tahoma"/>
          <w:sz w:val="22"/>
          <w:szCs w:val="22"/>
        </w:rPr>
      </w:pPr>
    </w:p>
    <w:p w:rsidR="00A060F3" w:rsidRPr="00A32FC7" w:rsidRDefault="00AB7D95" w:rsidP="00A32FC7">
      <w:pPr>
        <w:ind w:left="-426" w:right="-285"/>
        <w:jc w:val="both"/>
        <w:rPr>
          <w:rFonts w:ascii="Verdana" w:hAnsi="Verdana" w:cs="Tahoma"/>
          <w:sz w:val="22"/>
          <w:szCs w:val="22"/>
        </w:rPr>
      </w:pPr>
      <w:r w:rsidRPr="00966D90">
        <w:rPr>
          <w:rFonts w:ascii="Verdana" w:hAnsi="Verdana" w:cs="Tahoma"/>
          <w:sz w:val="22"/>
          <w:szCs w:val="22"/>
        </w:rPr>
        <w:t xml:space="preserve">Sin </w:t>
      </w:r>
      <w:r w:rsidR="009422AB" w:rsidRPr="00966D90">
        <w:rPr>
          <w:rFonts w:ascii="Verdana" w:hAnsi="Verdana" w:cs="Tahoma"/>
          <w:sz w:val="22"/>
          <w:szCs w:val="22"/>
        </w:rPr>
        <w:t xml:space="preserve">otro particular, </w:t>
      </w:r>
      <w:r w:rsidR="00F4206F" w:rsidRPr="00966D90">
        <w:rPr>
          <w:rFonts w:ascii="Verdana" w:hAnsi="Verdana" w:cs="Tahoma"/>
          <w:sz w:val="22"/>
          <w:szCs w:val="22"/>
        </w:rPr>
        <w:t>me despido de Usted.</w:t>
      </w:r>
    </w:p>
    <w:p w:rsidR="0016050E" w:rsidRDefault="0016050E" w:rsidP="00755998">
      <w:pPr>
        <w:ind w:right="-285"/>
        <w:rPr>
          <w:rFonts w:ascii="Verdana" w:hAnsi="Verdana" w:cs="Tahoma"/>
          <w:b/>
          <w:sz w:val="22"/>
          <w:szCs w:val="22"/>
        </w:rPr>
      </w:pPr>
    </w:p>
    <w:p w:rsidR="00A32FC7" w:rsidRDefault="00A32FC7" w:rsidP="00755998">
      <w:pPr>
        <w:ind w:right="-285"/>
        <w:rPr>
          <w:rFonts w:ascii="Verdana" w:hAnsi="Verdana" w:cs="Tahoma"/>
          <w:b/>
          <w:sz w:val="22"/>
          <w:szCs w:val="22"/>
        </w:rPr>
      </w:pPr>
    </w:p>
    <w:p w:rsidR="00905B0E" w:rsidRDefault="00905B0E" w:rsidP="00755998">
      <w:pPr>
        <w:ind w:right="-285"/>
        <w:rPr>
          <w:rFonts w:ascii="Verdana" w:hAnsi="Verdana" w:cs="Tahoma"/>
          <w:b/>
          <w:sz w:val="22"/>
          <w:szCs w:val="22"/>
        </w:rPr>
      </w:pPr>
    </w:p>
    <w:p w:rsidR="00905B0E" w:rsidRDefault="00905B0E" w:rsidP="00755998">
      <w:pPr>
        <w:ind w:right="-285"/>
        <w:rPr>
          <w:rFonts w:ascii="Verdana" w:hAnsi="Verdana" w:cs="Tahoma"/>
          <w:b/>
          <w:sz w:val="22"/>
          <w:szCs w:val="22"/>
        </w:rPr>
      </w:pPr>
    </w:p>
    <w:p w:rsidR="00905B0E" w:rsidRPr="00966D90" w:rsidRDefault="00905B0E" w:rsidP="00755998">
      <w:pPr>
        <w:ind w:right="-285"/>
        <w:rPr>
          <w:rFonts w:ascii="Verdana" w:hAnsi="Verdana" w:cs="Tahoma"/>
          <w:b/>
          <w:sz w:val="22"/>
          <w:szCs w:val="22"/>
        </w:rPr>
      </w:pPr>
    </w:p>
    <w:p w:rsidR="006B3A41" w:rsidRPr="00966D90" w:rsidRDefault="006B3A41" w:rsidP="006B3A41">
      <w:pPr>
        <w:ind w:left="-426" w:right="-285"/>
        <w:jc w:val="center"/>
        <w:rPr>
          <w:rFonts w:ascii="Verdana" w:hAnsi="Verdana" w:cs="Tahoma"/>
          <w:b/>
          <w:sz w:val="22"/>
          <w:szCs w:val="22"/>
        </w:rPr>
      </w:pPr>
      <w:r w:rsidRPr="00966D90">
        <w:rPr>
          <w:rFonts w:ascii="Verdana" w:hAnsi="Verdana" w:cs="Tahoma"/>
          <w:b/>
          <w:sz w:val="22"/>
          <w:szCs w:val="22"/>
        </w:rPr>
        <w:t>ATENTAMENTE</w:t>
      </w:r>
    </w:p>
    <w:p w:rsidR="00D573BA" w:rsidRPr="00966D90" w:rsidRDefault="00D573BA" w:rsidP="006B3A41">
      <w:pPr>
        <w:ind w:left="-426" w:right="-285"/>
        <w:jc w:val="center"/>
        <w:rPr>
          <w:rFonts w:ascii="Verdana" w:hAnsi="Verdana" w:cs="Tahoma"/>
          <w:b/>
          <w:sz w:val="22"/>
          <w:szCs w:val="22"/>
        </w:rPr>
      </w:pPr>
    </w:p>
    <w:p w:rsidR="006B3A41" w:rsidRPr="00966D90" w:rsidRDefault="006B3A41" w:rsidP="006B3A41">
      <w:pPr>
        <w:ind w:left="-284"/>
        <w:jc w:val="center"/>
        <w:rPr>
          <w:rFonts w:ascii="Verdana" w:hAnsi="Verdana" w:cs="Tahoma"/>
          <w:sz w:val="22"/>
          <w:szCs w:val="22"/>
          <w:lang w:val="es-MX"/>
        </w:rPr>
      </w:pPr>
      <w:r w:rsidRPr="00966D90">
        <w:rPr>
          <w:rFonts w:ascii="Verdana" w:hAnsi="Verdana" w:cs="Tahoma"/>
          <w:sz w:val="22"/>
          <w:szCs w:val="22"/>
          <w:lang w:val="es-MX"/>
        </w:rPr>
        <w:t xml:space="preserve">“Por </w:t>
      </w:r>
      <w:r w:rsidR="00A32FC7">
        <w:rPr>
          <w:rFonts w:ascii="Verdana" w:hAnsi="Verdana" w:cs="Tahoma"/>
          <w:sz w:val="22"/>
          <w:szCs w:val="22"/>
          <w:lang w:val="es-MX"/>
        </w:rPr>
        <w:t>la Autonomía e</w:t>
      </w:r>
      <w:r w:rsidR="00A32FC7" w:rsidRPr="00966D90">
        <w:rPr>
          <w:rFonts w:ascii="Verdana" w:hAnsi="Verdana" w:cs="Tahoma"/>
          <w:sz w:val="22"/>
          <w:szCs w:val="22"/>
          <w:lang w:val="es-MX"/>
        </w:rPr>
        <w:t xml:space="preserve"> Independencia</w:t>
      </w:r>
    </w:p>
    <w:p w:rsidR="006B3A41" w:rsidRPr="00966D90" w:rsidRDefault="00A32FC7" w:rsidP="006B3A41">
      <w:pPr>
        <w:ind w:left="-284"/>
        <w:jc w:val="center"/>
        <w:rPr>
          <w:rFonts w:ascii="Verdana" w:hAnsi="Verdana" w:cs="Tahoma"/>
          <w:sz w:val="22"/>
          <w:szCs w:val="22"/>
          <w:lang w:val="es-MX"/>
        </w:rPr>
      </w:pPr>
      <w:r>
        <w:rPr>
          <w:rFonts w:ascii="Verdana" w:hAnsi="Verdana" w:cs="Tahoma"/>
          <w:sz w:val="22"/>
          <w:szCs w:val="22"/>
          <w:lang w:val="es-MX"/>
        </w:rPr>
        <w:t>de l</w:t>
      </w:r>
      <w:r w:rsidRPr="00966D90">
        <w:rPr>
          <w:rFonts w:ascii="Verdana" w:hAnsi="Verdana" w:cs="Tahoma"/>
          <w:sz w:val="22"/>
          <w:szCs w:val="22"/>
          <w:lang w:val="es-MX"/>
        </w:rPr>
        <w:t>os Organismos Electorales”</w:t>
      </w:r>
    </w:p>
    <w:p w:rsidR="00B558BC" w:rsidRPr="00966D90" w:rsidRDefault="00B558BC" w:rsidP="00D573BA">
      <w:pPr>
        <w:ind w:right="-285"/>
        <w:rPr>
          <w:rFonts w:ascii="Verdana" w:hAnsi="Verdana" w:cs="Tahoma"/>
          <w:sz w:val="22"/>
          <w:szCs w:val="22"/>
        </w:rPr>
      </w:pPr>
    </w:p>
    <w:p w:rsidR="00B558BC" w:rsidRDefault="00B558BC" w:rsidP="00D573BA">
      <w:pPr>
        <w:ind w:right="-285"/>
        <w:rPr>
          <w:rFonts w:ascii="Verdana" w:hAnsi="Verdana" w:cs="Tahoma"/>
          <w:sz w:val="22"/>
          <w:szCs w:val="22"/>
        </w:rPr>
      </w:pPr>
    </w:p>
    <w:p w:rsidR="00A32FC7" w:rsidRPr="00966D90" w:rsidRDefault="00A32FC7" w:rsidP="00D573BA">
      <w:pPr>
        <w:ind w:right="-285"/>
        <w:rPr>
          <w:rFonts w:ascii="Verdana" w:hAnsi="Verdana" w:cs="Tahoma"/>
          <w:sz w:val="22"/>
          <w:szCs w:val="22"/>
        </w:rPr>
      </w:pPr>
    </w:p>
    <w:p w:rsidR="00576E10" w:rsidRPr="00966D90" w:rsidRDefault="00F4206F" w:rsidP="00A060F3">
      <w:pPr>
        <w:ind w:left="-426" w:right="-285"/>
        <w:jc w:val="center"/>
        <w:rPr>
          <w:rFonts w:ascii="Verdana" w:hAnsi="Verdana" w:cs="Tahoma"/>
          <w:sz w:val="22"/>
          <w:szCs w:val="22"/>
        </w:rPr>
      </w:pPr>
      <w:r w:rsidRPr="00966D90">
        <w:rPr>
          <w:rFonts w:ascii="Verdana" w:hAnsi="Verdana" w:cs="Tahoma"/>
          <w:sz w:val="22"/>
          <w:szCs w:val="22"/>
        </w:rPr>
        <w:t>Mtra. María Obdulia Macías Miranda</w:t>
      </w:r>
    </w:p>
    <w:p w:rsidR="00B558BC" w:rsidRPr="00755998" w:rsidRDefault="00F4206F" w:rsidP="00755998">
      <w:pPr>
        <w:ind w:left="-426" w:right="-285"/>
        <w:jc w:val="center"/>
        <w:rPr>
          <w:rFonts w:ascii="Verdana" w:hAnsi="Verdana" w:cs="Tahoma"/>
          <w:b/>
          <w:sz w:val="22"/>
          <w:szCs w:val="22"/>
        </w:rPr>
      </w:pPr>
      <w:r w:rsidRPr="00966D90">
        <w:rPr>
          <w:rFonts w:ascii="Verdana" w:hAnsi="Verdana" w:cs="Tahoma"/>
          <w:sz w:val="22"/>
          <w:szCs w:val="22"/>
        </w:rPr>
        <w:t>Titular del Departamento de Control Intern</w:t>
      </w:r>
      <w:r w:rsidR="00755998">
        <w:rPr>
          <w:rFonts w:ascii="Verdana" w:hAnsi="Verdana" w:cs="Tahoma"/>
          <w:sz w:val="22"/>
          <w:szCs w:val="22"/>
        </w:rPr>
        <w:t>o</w:t>
      </w:r>
    </w:p>
    <w:p w:rsidR="00966D90" w:rsidRDefault="00966D90" w:rsidP="007B5D22">
      <w:pPr>
        <w:ind w:right="-285"/>
        <w:rPr>
          <w:rFonts w:ascii="Tahoma" w:hAnsi="Tahoma" w:cs="Tahoma"/>
          <w:b/>
        </w:rPr>
      </w:pPr>
    </w:p>
    <w:p w:rsidR="00A32FC7" w:rsidRDefault="00A32FC7"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905B0E" w:rsidRDefault="00905B0E" w:rsidP="00576E10">
      <w:pPr>
        <w:ind w:left="-426" w:right="-285"/>
        <w:rPr>
          <w:rFonts w:ascii="Tahoma" w:hAnsi="Tahoma" w:cs="Tahoma"/>
          <w:sz w:val="16"/>
          <w:szCs w:val="16"/>
        </w:rPr>
      </w:pPr>
    </w:p>
    <w:p w:rsidR="00576E10" w:rsidRPr="00FE1B80" w:rsidRDefault="00A32FC7" w:rsidP="00576E10">
      <w:pPr>
        <w:ind w:left="-426" w:right="-285"/>
        <w:rPr>
          <w:rFonts w:ascii="Tahoma" w:hAnsi="Tahoma" w:cs="Tahoma"/>
          <w:sz w:val="16"/>
          <w:szCs w:val="16"/>
        </w:rPr>
      </w:pPr>
      <w:r>
        <w:rPr>
          <w:rFonts w:ascii="Tahoma" w:hAnsi="Tahoma" w:cs="Tahoma"/>
          <w:sz w:val="16"/>
          <w:szCs w:val="16"/>
        </w:rPr>
        <w:t>c</w:t>
      </w:r>
      <w:r w:rsidR="00FE1B80" w:rsidRPr="00FE1B80">
        <w:rPr>
          <w:rFonts w:ascii="Tahoma" w:hAnsi="Tahoma" w:cs="Tahoma"/>
          <w:sz w:val="16"/>
          <w:szCs w:val="16"/>
        </w:rPr>
        <w:t>.c.p.</w:t>
      </w:r>
      <w:r w:rsidR="0032298A">
        <w:rPr>
          <w:rFonts w:ascii="Tahoma" w:hAnsi="Tahoma" w:cs="Tahoma"/>
          <w:sz w:val="16"/>
          <w:szCs w:val="16"/>
        </w:rPr>
        <w:t>-</w:t>
      </w:r>
      <w:r w:rsidR="00B77F6F">
        <w:rPr>
          <w:rFonts w:ascii="Tahoma" w:hAnsi="Tahoma" w:cs="Tahoma"/>
          <w:sz w:val="16"/>
          <w:szCs w:val="16"/>
        </w:rPr>
        <w:t xml:space="preserve"> </w:t>
      </w:r>
      <w:r w:rsidR="0032298A">
        <w:rPr>
          <w:rFonts w:ascii="Tahoma" w:hAnsi="Tahoma" w:cs="Tahoma"/>
          <w:sz w:val="16"/>
          <w:szCs w:val="16"/>
        </w:rPr>
        <w:t>Archivo</w:t>
      </w:r>
    </w:p>
    <w:sectPr w:rsidR="00576E10" w:rsidRPr="00FE1B80" w:rsidSect="00A32FC7">
      <w:headerReference w:type="default" r:id="rId9"/>
      <w:footerReference w:type="default" r:id="rId10"/>
      <w:pgSz w:w="12240" w:h="15840" w:code="1"/>
      <w:pgMar w:top="1417" w:right="1701" w:bottom="426" w:left="1701"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117" w:rsidRDefault="00BA6117" w:rsidP="005502E4">
      <w:r>
        <w:separator/>
      </w:r>
    </w:p>
  </w:endnote>
  <w:endnote w:type="continuationSeparator" w:id="1">
    <w:p w:rsidR="00BA6117" w:rsidRDefault="00BA6117" w:rsidP="00550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18"/>
      </w:rPr>
      <w:id w:val="37977719"/>
      <w:docPartObj>
        <w:docPartGallery w:val="Page Numbers (Bottom of Page)"/>
        <w:docPartUnique/>
      </w:docPartObj>
    </w:sdtPr>
    <w:sdtContent>
      <w:sdt>
        <w:sdtPr>
          <w:rPr>
            <w:rFonts w:ascii="Verdana" w:hAnsi="Verdana"/>
            <w:sz w:val="18"/>
            <w:szCs w:val="18"/>
          </w:rPr>
          <w:id w:val="216747587"/>
          <w:docPartObj>
            <w:docPartGallery w:val="Page Numbers (Top of Page)"/>
            <w:docPartUnique/>
          </w:docPartObj>
        </w:sdtPr>
        <w:sdtContent>
          <w:p w:rsidR="00443BA9" w:rsidRPr="00443BA9" w:rsidRDefault="00443BA9">
            <w:pPr>
              <w:pStyle w:val="Piedepgina"/>
              <w:jc w:val="right"/>
              <w:rPr>
                <w:rFonts w:ascii="Verdana" w:hAnsi="Verdana"/>
                <w:sz w:val="18"/>
                <w:szCs w:val="18"/>
              </w:rPr>
            </w:pPr>
            <w:r w:rsidRPr="00443BA9">
              <w:rPr>
                <w:rFonts w:ascii="Verdana" w:hAnsi="Verdana"/>
                <w:sz w:val="18"/>
                <w:szCs w:val="18"/>
              </w:rPr>
              <w:t xml:space="preserve">Página </w:t>
            </w:r>
            <w:r w:rsidR="00C80C53" w:rsidRPr="00443BA9">
              <w:rPr>
                <w:rFonts w:ascii="Verdana" w:hAnsi="Verdana"/>
                <w:sz w:val="18"/>
                <w:szCs w:val="18"/>
              </w:rPr>
              <w:fldChar w:fldCharType="begin"/>
            </w:r>
            <w:r w:rsidRPr="00443BA9">
              <w:rPr>
                <w:rFonts w:ascii="Verdana" w:hAnsi="Verdana"/>
                <w:sz w:val="18"/>
                <w:szCs w:val="18"/>
              </w:rPr>
              <w:instrText>PAGE</w:instrText>
            </w:r>
            <w:r w:rsidR="00C80C53" w:rsidRPr="00443BA9">
              <w:rPr>
                <w:rFonts w:ascii="Verdana" w:hAnsi="Verdana"/>
                <w:sz w:val="18"/>
                <w:szCs w:val="18"/>
              </w:rPr>
              <w:fldChar w:fldCharType="separate"/>
            </w:r>
            <w:r w:rsidR="009253E0">
              <w:rPr>
                <w:rFonts w:ascii="Verdana" w:hAnsi="Verdana"/>
                <w:noProof/>
                <w:sz w:val="18"/>
                <w:szCs w:val="18"/>
              </w:rPr>
              <w:t>1</w:t>
            </w:r>
            <w:r w:rsidR="00C80C53" w:rsidRPr="00443BA9">
              <w:rPr>
                <w:rFonts w:ascii="Verdana" w:hAnsi="Verdana"/>
                <w:sz w:val="18"/>
                <w:szCs w:val="18"/>
              </w:rPr>
              <w:fldChar w:fldCharType="end"/>
            </w:r>
            <w:r w:rsidRPr="00443BA9">
              <w:rPr>
                <w:rFonts w:ascii="Verdana" w:hAnsi="Verdana"/>
                <w:sz w:val="18"/>
                <w:szCs w:val="18"/>
              </w:rPr>
              <w:t xml:space="preserve"> de </w:t>
            </w:r>
            <w:r w:rsidR="00C80C53" w:rsidRPr="00443BA9">
              <w:rPr>
                <w:rFonts w:ascii="Verdana" w:hAnsi="Verdana"/>
                <w:sz w:val="18"/>
                <w:szCs w:val="18"/>
              </w:rPr>
              <w:fldChar w:fldCharType="begin"/>
            </w:r>
            <w:r w:rsidRPr="00443BA9">
              <w:rPr>
                <w:rFonts w:ascii="Verdana" w:hAnsi="Verdana"/>
                <w:sz w:val="18"/>
                <w:szCs w:val="18"/>
              </w:rPr>
              <w:instrText>NUMPAGES</w:instrText>
            </w:r>
            <w:r w:rsidR="00C80C53" w:rsidRPr="00443BA9">
              <w:rPr>
                <w:rFonts w:ascii="Verdana" w:hAnsi="Verdana"/>
                <w:sz w:val="18"/>
                <w:szCs w:val="18"/>
              </w:rPr>
              <w:fldChar w:fldCharType="separate"/>
            </w:r>
            <w:r w:rsidR="009253E0">
              <w:rPr>
                <w:rFonts w:ascii="Verdana" w:hAnsi="Verdana"/>
                <w:noProof/>
                <w:sz w:val="18"/>
                <w:szCs w:val="18"/>
              </w:rPr>
              <w:t>3</w:t>
            </w:r>
            <w:r w:rsidR="00C80C53" w:rsidRPr="00443BA9">
              <w:rPr>
                <w:rFonts w:ascii="Verdana" w:hAnsi="Verdana"/>
                <w:sz w:val="18"/>
                <w:szCs w:val="18"/>
              </w:rPr>
              <w:fldChar w:fldCharType="end"/>
            </w:r>
          </w:p>
        </w:sdtContent>
      </w:sdt>
    </w:sdtContent>
  </w:sdt>
  <w:p w:rsidR="007418D8" w:rsidRPr="00B558BC" w:rsidRDefault="007418D8">
    <w:pPr>
      <w:pStyle w:val="Piedepgina"/>
      <w:rPr>
        <w:rFonts w:asciiTheme="minorHAnsi" w:hAnsiTheme="minorHAnsi" w:cs="Tahom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117" w:rsidRDefault="00BA6117" w:rsidP="005502E4">
      <w:r>
        <w:separator/>
      </w:r>
    </w:p>
  </w:footnote>
  <w:footnote w:type="continuationSeparator" w:id="1">
    <w:p w:rsidR="00BA6117" w:rsidRDefault="00BA6117" w:rsidP="0055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D8" w:rsidRDefault="007418D8">
    <w:pPr>
      <w:pStyle w:val="Encabezado"/>
    </w:pPr>
    <w:r>
      <w:rPr>
        <w:noProof/>
        <w:lang w:val="en-US" w:eastAsia="en-US"/>
      </w:rPr>
      <w:drawing>
        <wp:anchor distT="0" distB="0" distL="114300" distR="114300" simplePos="0" relativeHeight="251659264" behindDoc="0" locked="0" layoutInCell="1" allowOverlap="1">
          <wp:simplePos x="0" y="0"/>
          <wp:positionH relativeFrom="column">
            <wp:posOffset>-394335</wp:posOffset>
          </wp:positionH>
          <wp:positionV relativeFrom="paragraph">
            <wp:posOffset>169545</wp:posOffset>
          </wp:positionV>
          <wp:extent cx="6486525" cy="914400"/>
          <wp:effectExtent l="19050" t="0" r="0" b="0"/>
          <wp:wrapThrough wrapText="bothSides">
            <wp:wrapPolygon edited="0">
              <wp:start x="-63" y="0"/>
              <wp:lineTo x="-63" y="21150"/>
              <wp:lineTo x="6280" y="21150"/>
              <wp:lineTo x="15669" y="21150"/>
              <wp:lineTo x="18396" y="19800"/>
              <wp:lineTo x="18206" y="14400"/>
              <wp:lineTo x="20490" y="9900"/>
              <wp:lineTo x="20680" y="8100"/>
              <wp:lineTo x="20426" y="7200"/>
              <wp:lineTo x="20617" y="4050"/>
              <wp:lineTo x="19602" y="3150"/>
              <wp:lineTo x="6280" y="0"/>
              <wp:lineTo x="-63" y="0"/>
            </wp:wrapPolygon>
          </wp:wrapThrough>
          <wp:docPr id="2" name="Objet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5"/>
                  <pic:cNvPicPr>
                    <a:picLocks noChangeArrowheads="1"/>
                  </pic:cNvPicPr>
                </pic:nvPicPr>
                <pic:blipFill>
                  <a:blip r:embed="rId1"/>
                  <a:srcRect t="8741" r="-5083" b="5292"/>
                  <a:stretch>
                    <a:fillRect/>
                  </a:stretch>
                </pic:blipFill>
                <pic:spPr bwMode="auto">
                  <a:xfrm>
                    <a:off x="0" y="0"/>
                    <a:ext cx="6486525" cy="914400"/>
                  </a:xfrm>
                  <a:prstGeom prst="rect">
                    <a:avLst/>
                  </a:prstGeom>
                  <a:noFill/>
                  <a:ln w="9525">
                    <a:noFill/>
                    <a:miter lim="800000"/>
                    <a:headEnd/>
                    <a:tailEnd/>
                  </a:ln>
                </pic:spPr>
              </pic:pic>
            </a:graphicData>
          </a:graphic>
        </wp:anchor>
      </w:drawing>
    </w:r>
  </w:p>
  <w:p w:rsidR="007418D8" w:rsidRDefault="007418D8">
    <w:pPr>
      <w:pStyle w:val="Encabezado"/>
    </w:pPr>
  </w:p>
  <w:p w:rsidR="007418D8" w:rsidRDefault="007418D8">
    <w:pPr>
      <w:pStyle w:val="Encabezado"/>
    </w:pPr>
  </w:p>
  <w:p w:rsidR="007418D8" w:rsidRDefault="007418D8">
    <w:pPr>
      <w:pStyle w:val="Encabezado"/>
    </w:pPr>
  </w:p>
  <w:p w:rsidR="007418D8" w:rsidRPr="00D37169" w:rsidRDefault="007418D8">
    <w:pPr>
      <w:pStyle w:val="Encabezado"/>
      <w:rPr>
        <w:b/>
      </w:rPr>
    </w:pPr>
  </w:p>
  <w:p w:rsidR="007418D8" w:rsidRPr="000E0329" w:rsidRDefault="007418D8" w:rsidP="007418D8">
    <w:pPr>
      <w:jc w:val="right"/>
      <w:rPr>
        <w:rFonts w:ascii="Tahoma" w:hAnsi="Tahoma" w:cs="Tahoma"/>
        <w:i/>
        <w:sz w:val="18"/>
        <w:szCs w:val="18"/>
      </w:rPr>
    </w:pPr>
  </w:p>
  <w:p w:rsidR="007418D8" w:rsidRPr="000E0329" w:rsidRDefault="007418D8" w:rsidP="007418D8">
    <w:pPr>
      <w:jc w:val="right"/>
      <w:rPr>
        <w:rFonts w:ascii="Tahoma" w:hAnsi="Tahoma" w:cs="Tahoma"/>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7B6"/>
    <w:multiLevelType w:val="hybridMultilevel"/>
    <w:tmpl w:val="18ACEDB8"/>
    <w:lvl w:ilvl="0" w:tplc="080A0001">
      <w:start w:val="1"/>
      <w:numFmt w:val="bullet"/>
      <w:lvlText w:val=""/>
      <w:lvlJc w:val="left"/>
      <w:pPr>
        <w:ind w:left="295" w:hanging="360"/>
      </w:pPr>
      <w:rPr>
        <w:rFonts w:ascii="Symbol" w:hAnsi="Symbol"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1">
    <w:nsid w:val="0FEA469C"/>
    <w:multiLevelType w:val="hybridMultilevel"/>
    <w:tmpl w:val="731C7E66"/>
    <w:lvl w:ilvl="0" w:tplc="487AF4C2">
      <w:start w:val="1"/>
      <w:numFmt w:val="decimal"/>
      <w:lvlText w:val="%1."/>
      <w:lvlJc w:val="left"/>
      <w:pPr>
        <w:ind w:left="-65" w:hanging="360"/>
      </w:pPr>
      <w:rPr>
        <w:rFonts w:hint="default"/>
      </w:rPr>
    </w:lvl>
    <w:lvl w:ilvl="1" w:tplc="080A0019" w:tentative="1">
      <w:start w:val="1"/>
      <w:numFmt w:val="lowerLetter"/>
      <w:lvlText w:val="%2."/>
      <w:lvlJc w:val="left"/>
      <w:pPr>
        <w:ind w:left="655" w:hanging="360"/>
      </w:pPr>
    </w:lvl>
    <w:lvl w:ilvl="2" w:tplc="080A001B" w:tentative="1">
      <w:start w:val="1"/>
      <w:numFmt w:val="lowerRoman"/>
      <w:lvlText w:val="%3."/>
      <w:lvlJc w:val="right"/>
      <w:pPr>
        <w:ind w:left="1375" w:hanging="180"/>
      </w:pPr>
    </w:lvl>
    <w:lvl w:ilvl="3" w:tplc="080A000F" w:tentative="1">
      <w:start w:val="1"/>
      <w:numFmt w:val="decimal"/>
      <w:lvlText w:val="%4."/>
      <w:lvlJc w:val="left"/>
      <w:pPr>
        <w:ind w:left="2095" w:hanging="360"/>
      </w:pPr>
    </w:lvl>
    <w:lvl w:ilvl="4" w:tplc="080A0019" w:tentative="1">
      <w:start w:val="1"/>
      <w:numFmt w:val="lowerLetter"/>
      <w:lvlText w:val="%5."/>
      <w:lvlJc w:val="left"/>
      <w:pPr>
        <w:ind w:left="2815" w:hanging="360"/>
      </w:pPr>
    </w:lvl>
    <w:lvl w:ilvl="5" w:tplc="080A001B" w:tentative="1">
      <w:start w:val="1"/>
      <w:numFmt w:val="lowerRoman"/>
      <w:lvlText w:val="%6."/>
      <w:lvlJc w:val="right"/>
      <w:pPr>
        <w:ind w:left="3535" w:hanging="180"/>
      </w:pPr>
    </w:lvl>
    <w:lvl w:ilvl="6" w:tplc="080A000F" w:tentative="1">
      <w:start w:val="1"/>
      <w:numFmt w:val="decimal"/>
      <w:lvlText w:val="%7."/>
      <w:lvlJc w:val="left"/>
      <w:pPr>
        <w:ind w:left="4255" w:hanging="360"/>
      </w:pPr>
    </w:lvl>
    <w:lvl w:ilvl="7" w:tplc="080A0019" w:tentative="1">
      <w:start w:val="1"/>
      <w:numFmt w:val="lowerLetter"/>
      <w:lvlText w:val="%8."/>
      <w:lvlJc w:val="left"/>
      <w:pPr>
        <w:ind w:left="4975" w:hanging="360"/>
      </w:pPr>
    </w:lvl>
    <w:lvl w:ilvl="8" w:tplc="080A001B" w:tentative="1">
      <w:start w:val="1"/>
      <w:numFmt w:val="lowerRoman"/>
      <w:lvlText w:val="%9."/>
      <w:lvlJc w:val="right"/>
      <w:pPr>
        <w:ind w:left="5695" w:hanging="180"/>
      </w:pPr>
    </w:lvl>
  </w:abstractNum>
  <w:abstractNum w:abstractNumId="2">
    <w:nsid w:val="14553390"/>
    <w:multiLevelType w:val="hybridMultilevel"/>
    <w:tmpl w:val="AAF8A00E"/>
    <w:lvl w:ilvl="0" w:tplc="1F62428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nsid w:val="17570A6F"/>
    <w:multiLevelType w:val="hybridMultilevel"/>
    <w:tmpl w:val="335E0D1E"/>
    <w:lvl w:ilvl="0" w:tplc="FF88CBE2">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nsid w:val="182575F1"/>
    <w:multiLevelType w:val="hybridMultilevel"/>
    <w:tmpl w:val="4DD44430"/>
    <w:lvl w:ilvl="0" w:tplc="080A0001">
      <w:start w:val="1"/>
      <w:numFmt w:val="bullet"/>
      <w:lvlText w:val=""/>
      <w:lvlJc w:val="left"/>
      <w:pPr>
        <w:ind w:left="578" w:hanging="360"/>
      </w:pPr>
      <w:rPr>
        <w:rFonts w:ascii="Symbol" w:hAnsi="Symbol" w:hint="default"/>
      </w:rPr>
    </w:lvl>
    <w:lvl w:ilvl="1" w:tplc="35AA4158">
      <w:numFmt w:val="bullet"/>
      <w:lvlText w:val="•"/>
      <w:lvlJc w:val="left"/>
      <w:pPr>
        <w:ind w:left="1298" w:hanging="360"/>
      </w:pPr>
      <w:rPr>
        <w:rFonts w:ascii="Verdana" w:eastAsia="Times New Roman" w:hAnsi="Verdana" w:cs="Tahoma"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5">
    <w:nsid w:val="18646CAB"/>
    <w:multiLevelType w:val="hybridMultilevel"/>
    <w:tmpl w:val="971C8F48"/>
    <w:lvl w:ilvl="0" w:tplc="47AACA2C">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6">
    <w:nsid w:val="1C471150"/>
    <w:multiLevelType w:val="hybridMultilevel"/>
    <w:tmpl w:val="544C6AD6"/>
    <w:lvl w:ilvl="0" w:tplc="C7AED202">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7">
    <w:nsid w:val="1D352063"/>
    <w:multiLevelType w:val="hybridMultilevel"/>
    <w:tmpl w:val="9C2EF5EA"/>
    <w:lvl w:ilvl="0" w:tplc="14D4498A">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nsid w:val="1DA45881"/>
    <w:multiLevelType w:val="hybridMultilevel"/>
    <w:tmpl w:val="D5329AEC"/>
    <w:lvl w:ilvl="0" w:tplc="053C479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9">
    <w:nsid w:val="2D583D9B"/>
    <w:multiLevelType w:val="hybridMultilevel"/>
    <w:tmpl w:val="6A085760"/>
    <w:lvl w:ilvl="0" w:tplc="1464C88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0">
    <w:nsid w:val="31B228AB"/>
    <w:multiLevelType w:val="hybridMultilevel"/>
    <w:tmpl w:val="82380B00"/>
    <w:lvl w:ilvl="0" w:tplc="A5449834">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1">
    <w:nsid w:val="39052626"/>
    <w:multiLevelType w:val="hybridMultilevel"/>
    <w:tmpl w:val="07CEA6F6"/>
    <w:lvl w:ilvl="0" w:tplc="392E0292">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2">
    <w:nsid w:val="43765A47"/>
    <w:multiLevelType w:val="hybridMultilevel"/>
    <w:tmpl w:val="F86C0FD2"/>
    <w:lvl w:ilvl="0" w:tplc="4A007878">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3">
    <w:nsid w:val="4E1F4F0D"/>
    <w:multiLevelType w:val="hybridMultilevel"/>
    <w:tmpl w:val="D0F86CBC"/>
    <w:lvl w:ilvl="0" w:tplc="5D480F64">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nsid w:val="5B354E21"/>
    <w:multiLevelType w:val="hybridMultilevel"/>
    <w:tmpl w:val="CD62C84E"/>
    <w:lvl w:ilvl="0" w:tplc="782EEC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5BA47947"/>
    <w:multiLevelType w:val="hybridMultilevel"/>
    <w:tmpl w:val="B25C10D2"/>
    <w:lvl w:ilvl="0" w:tplc="F50A1902">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6">
    <w:nsid w:val="5F2B4C07"/>
    <w:multiLevelType w:val="hybridMultilevel"/>
    <w:tmpl w:val="5504F78C"/>
    <w:lvl w:ilvl="0" w:tplc="AC2A76D6">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7">
    <w:nsid w:val="64457605"/>
    <w:multiLevelType w:val="hybridMultilevel"/>
    <w:tmpl w:val="2C925B50"/>
    <w:lvl w:ilvl="0" w:tplc="BCD0F7D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8">
    <w:nsid w:val="67893D87"/>
    <w:multiLevelType w:val="hybridMultilevel"/>
    <w:tmpl w:val="9AECF566"/>
    <w:lvl w:ilvl="0" w:tplc="0BAE5C2C">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9">
    <w:nsid w:val="67945875"/>
    <w:multiLevelType w:val="hybridMultilevel"/>
    <w:tmpl w:val="DE5640B2"/>
    <w:lvl w:ilvl="0" w:tplc="5D1433CE">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abstractNumId w:val="0"/>
  </w:num>
  <w:num w:numId="2">
    <w:abstractNumId w:val="1"/>
  </w:num>
  <w:num w:numId="3">
    <w:abstractNumId w:val="4"/>
  </w:num>
  <w:num w:numId="4">
    <w:abstractNumId w:val="5"/>
  </w:num>
  <w:num w:numId="5">
    <w:abstractNumId w:val="9"/>
  </w:num>
  <w:num w:numId="6">
    <w:abstractNumId w:val="11"/>
  </w:num>
  <w:num w:numId="7">
    <w:abstractNumId w:val="3"/>
  </w:num>
  <w:num w:numId="8">
    <w:abstractNumId w:val="2"/>
  </w:num>
  <w:num w:numId="9">
    <w:abstractNumId w:val="18"/>
  </w:num>
  <w:num w:numId="10">
    <w:abstractNumId w:val="6"/>
  </w:num>
  <w:num w:numId="11">
    <w:abstractNumId w:val="14"/>
  </w:num>
  <w:num w:numId="12">
    <w:abstractNumId w:val="10"/>
  </w:num>
  <w:num w:numId="13">
    <w:abstractNumId w:val="19"/>
  </w:num>
  <w:num w:numId="14">
    <w:abstractNumId w:val="7"/>
  </w:num>
  <w:num w:numId="15">
    <w:abstractNumId w:val="13"/>
  </w:num>
  <w:num w:numId="16">
    <w:abstractNumId w:val="16"/>
  </w:num>
  <w:num w:numId="17">
    <w:abstractNumId w:val="17"/>
  </w:num>
  <w:num w:numId="18">
    <w:abstractNumId w:val="8"/>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6B3A41"/>
    <w:rsid w:val="00002618"/>
    <w:rsid w:val="000A7FAB"/>
    <w:rsid w:val="000E0329"/>
    <w:rsid w:val="000E7913"/>
    <w:rsid w:val="0010719B"/>
    <w:rsid w:val="0016050E"/>
    <w:rsid w:val="00175895"/>
    <w:rsid w:val="00182931"/>
    <w:rsid w:val="001B33FC"/>
    <w:rsid w:val="001C0DF4"/>
    <w:rsid w:val="001C3843"/>
    <w:rsid w:val="001D2B7B"/>
    <w:rsid w:val="00204A84"/>
    <w:rsid w:val="00233D4C"/>
    <w:rsid w:val="002407EA"/>
    <w:rsid w:val="00292192"/>
    <w:rsid w:val="002D63F5"/>
    <w:rsid w:val="002D6C1F"/>
    <w:rsid w:val="0032298A"/>
    <w:rsid w:val="00333331"/>
    <w:rsid w:val="003B5A88"/>
    <w:rsid w:val="003B6EA2"/>
    <w:rsid w:val="003F6E7F"/>
    <w:rsid w:val="00405A91"/>
    <w:rsid w:val="00433200"/>
    <w:rsid w:val="00436E60"/>
    <w:rsid w:val="00443786"/>
    <w:rsid w:val="00443BA9"/>
    <w:rsid w:val="00455B68"/>
    <w:rsid w:val="00465B1A"/>
    <w:rsid w:val="0048782A"/>
    <w:rsid w:val="00492941"/>
    <w:rsid w:val="004C4EBF"/>
    <w:rsid w:val="004C5A28"/>
    <w:rsid w:val="004F080B"/>
    <w:rsid w:val="004F2404"/>
    <w:rsid w:val="00515B10"/>
    <w:rsid w:val="00515C9B"/>
    <w:rsid w:val="00540F2F"/>
    <w:rsid w:val="005502E4"/>
    <w:rsid w:val="0055276C"/>
    <w:rsid w:val="00572D77"/>
    <w:rsid w:val="00576E10"/>
    <w:rsid w:val="00582231"/>
    <w:rsid w:val="005E299F"/>
    <w:rsid w:val="00606AAD"/>
    <w:rsid w:val="00612ED8"/>
    <w:rsid w:val="00632D98"/>
    <w:rsid w:val="006338FF"/>
    <w:rsid w:val="00661EC7"/>
    <w:rsid w:val="006B3A41"/>
    <w:rsid w:val="006F7B05"/>
    <w:rsid w:val="007035B8"/>
    <w:rsid w:val="00715FAB"/>
    <w:rsid w:val="007418D8"/>
    <w:rsid w:val="00751C27"/>
    <w:rsid w:val="00755998"/>
    <w:rsid w:val="00756236"/>
    <w:rsid w:val="0077445F"/>
    <w:rsid w:val="007809C3"/>
    <w:rsid w:val="007B5D22"/>
    <w:rsid w:val="007E0812"/>
    <w:rsid w:val="00844691"/>
    <w:rsid w:val="00852DB6"/>
    <w:rsid w:val="00874BEA"/>
    <w:rsid w:val="00876146"/>
    <w:rsid w:val="00882540"/>
    <w:rsid w:val="008F014D"/>
    <w:rsid w:val="00905B0E"/>
    <w:rsid w:val="009131CB"/>
    <w:rsid w:val="009167BF"/>
    <w:rsid w:val="00920F70"/>
    <w:rsid w:val="009253E0"/>
    <w:rsid w:val="009422AB"/>
    <w:rsid w:val="00945817"/>
    <w:rsid w:val="009479D1"/>
    <w:rsid w:val="00966D90"/>
    <w:rsid w:val="00971471"/>
    <w:rsid w:val="009B5642"/>
    <w:rsid w:val="009C1346"/>
    <w:rsid w:val="009D4CAA"/>
    <w:rsid w:val="00A01ABC"/>
    <w:rsid w:val="00A060F3"/>
    <w:rsid w:val="00A24D3B"/>
    <w:rsid w:val="00A32FC7"/>
    <w:rsid w:val="00A610D0"/>
    <w:rsid w:val="00A63C53"/>
    <w:rsid w:val="00A650F1"/>
    <w:rsid w:val="00A936F5"/>
    <w:rsid w:val="00AA2248"/>
    <w:rsid w:val="00AB7D95"/>
    <w:rsid w:val="00AC0911"/>
    <w:rsid w:val="00AD2C07"/>
    <w:rsid w:val="00B0233B"/>
    <w:rsid w:val="00B3495D"/>
    <w:rsid w:val="00B42302"/>
    <w:rsid w:val="00B43B93"/>
    <w:rsid w:val="00B50BBF"/>
    <w:rsid w:val="00B558BC"/>
    <w:rsid w:val="00B77F6F"/>
    <w:rsid w:val="00B90205"/>
    <w:rsid w:val="00BA6117"/>
    <w:rsid w:val="00BA7534"/>
    <w:rsid w:val="00BC3A09"/>
    <w:rsid w:val="00C136ED"/>
    <w:rsid w:val="00C26C03"/>
    <w:rsid w:val="00C42EB7"/>
    <w:rsid w:val="00C44293"/>
    <w:rsid w:val="00C55E17"/>
    <w:rsid w:val="00C7269E"/>
    <w:rsid w:val="00C80C53"/>
    <w:rsid w:val="00CC4FBB"/>
    <w:rsid w:val="00CD0E3F"/>
    <w:rsid w:val="00CF50E2"/>
    <w:rsid w:val="00D10F9B"/>
    <w:rsid w:val="00D1551F"/>
    <w:rsid w:val="00D573BA"/>
    <w:rsid w:val="00D62BB9"/>
    <w:rsid w:val="00D74F0C"/>
    <w:rsid w:val="00D95627"/>
    <w:rsid w:val="00DA0631"/>
    <w:rsid w:val="00DA5869"/>
    <w:rsid w:val="00DE4E7B"/>
    <w:rsid w:val="00DE506F"/>
    <w:rsid w:val="00DF760B"/>
    <w:rsid w:val="00E36A46"/>
    <w:rsid w:val="00E41DC0"/>
    <w:rsid w:val="00E631E5"/>
    <w:rsid w:val="00E76333"/>
    <w:rsid w:val="00E95CDF"/>
    <w:rsid w:val="00EB55DB"/>
    <w:rsid w:val="00EC547D"/>
    <w:rsid w:val="00F115AC"/>
    <w:rsid w:val="00F212C9"/>
    <w:rsid w:val="00F222C5"/>
    <w:rsid w:val="00F24A04"/>
    <w:rsid w:val="00F33D08"/>
    <w:rsid w:val="00F4206F"/>
    <w:rsid w:val="00F522AE"/>
    <w:rsid w:val="00F75B4E"/>
    <w:rsid w:val="00F806F5"/>
    <w:rsid w:val="00F879B1"/>
    <w:rsid w:val="00F94C0C"/>
    <w:rsid w:val="00FE1B80"/>
    <w:rsid w:val="00FE3386"/>
    <w:rsid w:val="00FF35FF"/>
    <w:rsid w:val="00FF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B3A41"/>
    <w:pPr>
      <w:tabs>
        <w:tab w:val="center" w:pos="4419"/>
        <w:tab w:val="right" w:pos="8838"/>
      </w:tabs>
    </w:pPr>
  </w:style>
  <w:style w:type="character" w:customStyle="1" w:styleId="EncabezadoCar">
    <w:name w:val="Encabezado Car"/>
    <w:basedOn w:val="Fuentedeprrafopredeter"/>
    <w:link w:val="Encabezado"/>
    <w:uiPriority w:val="99"/>
    <w:semiHidden/>
    <w:rsid w:val="006B3A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3A41"/>
    <w:pPr>
      <w:tabs>
        <w:tab w:val="center" w:pos="4419"/>
        <w:tab w:val="right" w:pos="8838"/>
      </w:tabs>
    </w:pPr>
  </w:style>
  <w:style w:type="character" w:customStyle="1" w:styleId="PiedepginaCar">
    <w:name w:val="Pie de página Car"/>
    <w:basedOn w:val="Fuentedeprrafopredeter"/>
    <w:link w:val="Piedepgina"/>
    <w:uiPriority w:val="99"/>
    <w:rsid w:val="006B3A4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B3A41"/>
    <w:rPr>
      <w:color w:val="0000FF" w:themeColor="hyperlink"/>
      <w:u w:val="single"/>
    </w:rPr>
  </w:style>
  <w:style w:type="paragraph" w:styleId="Revisin">
    <w:name w:val="Revision"/>
    <w:hidden/>
    <w:uiPriority w:val="99"/>
    <w:semiHidden/>
    <w:rsid w:val="00751C27"/>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1C27"/>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C27"/>
    <w:rPr>
      <w:rFonts w:ascii="Tahoma" w:eastAsia="Times New Roman" w:hAnsi="Tahoma" w:cs="Tahoma"/>
      <w:sz w:val="16"/>
      <w:szCs w:val="16"/>
      <w:lang w:val="es-ES" w:eastAsia="es-ES"/>
    </w:rPr>
  </w:style>
  <w:style w:type="table" w:styleId="Tablaconcuadrcula">
    <w:name w:val="Table Grid"/>
    <w:basedOn w:val="Tablanormal"/>
    <w:uiPriority w:val="59"/>
    <w:rsid w:val="00D74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rsid w:val="00A24D3B"/>
    <w:pPr>
      <w:spacing w:after="101" w:line="216" w:lineRule="exact"/>
      <w:ind w:firstLine="288"/>
      <w:jc w:val="both"/>
    </w:pPr>
    <w:rPr>
      <w:rFonts w:ascii="Arial" w:hAnsi="Arial"/>
      <w:sz w:val="18"/>
      <w:szCs w:val="18"/>
    </w:rPr>
  </w:style>
  <w:style w:type="character" w:customStyle="1" w:styleId="TextoCar">
    <w:name w:val="Texto Car"/>
    <w:link w:val="Texto"/>
    <w:locked/>
    <w:rsid w:val="00A24D3B"/>
    <w:rPr>
      <w:rFonts w:ascii="Arial" w:eastAsia="Times New Roman" w:hAnsi="Arial" w:cs="Times New Roman"/>
      <w:sz w:val="18"/>
      <w:szCs w:val="18"/>
      <w:lang w:eastAsia="es-ES"/>
    </w:rPr>
  </w:style>
  <w:style w:type="paragraph" w:styleId="Prrafodelista">
    <w:name w:val="List Paragraph"/>
    <w:basedOn w:val="Normal"/>
    <w:uiPriority w:val="34"/>
    <w:qFormat/>
    <w:rsid w:val="00175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bc.mx/transparencia/transparenc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A626-B0D7-4803-B126-AE8B0D00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Contraloria General</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Romero Alejo</dc:creator>
  <cp:keywords/>
  <dc:description/>
  <cp:lastModifiedBy>Vanessa López</cp:lastModifiedBy>
  <cp:revision>2</cp:revision>
  <cp:lastPrinted>2016-03-22T03:00:00Z</cp:lastPrinted>
  <dcterms:created xsi:type="dcterms:W3CDTF">2016-03-22T16:34:00Z</dcterms:created>
  <dcterms:modified xsi:type="dcterms:W3CDTF">2016-03-22T16:34:00Z</dcterms:modified>
</cp:coreProperties>
</file>