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763A78">
        <w:rPr>
          <w:rFonts w:cs="Tahoma"/>
          <w:b/>
          <w:bCs/>
          <w:sz w:val="20"/>
          <w:szCs w:val="20"/>
          <w:lang w:val="es-ES"/>
        </w:rPr>
        <w:t>123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763A78">
        <w:rPr>
          <w:rFonts w:cs="Tahoma"/>
          <w:sz w:val="20"/>
          <w:szCs w:val="20"/>
          <w:lang w:val="es-ES"/>
        </w:rPr>
        <w:t>9</w:t>
      </w:r>
      <w:r w:rsidR="00E10DC6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886851" w:rsidRDefault="00886851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2526DB" w:rsidRDefault="002526D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EA67B8">
        <w:rPr>
          <w:sz w:val="20"/>
          <w:szCs w:val="20"/>
          <w:lang w:val="es-ES"/>
        </w:rPr>
        <w:t>7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763A78">
        <w:rPr>
          <w:b/>
          <w:bCs/>
          <w:sz w:val="20"/>
          <w:szCs w:val="20"/>
          <w:lang w:val="es-ES"/>
        </w:rPr>
        <w:t>83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2825D8" w:rsidRDefault="00763A78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En términos del artículo 63 de la Ley de Transparencia</w:t>
      </w:r>
      <w:r w:rsidR="002825D8">
        <w:rPr>
          <w:rFonts w:asciiTheme="minorHAnsi" w:hAnsiTheme="minorHAnsi"/>
          <w:sz w:val="20"/>
          <w:szCs w:val="20"/>
          <w:lang w:val="es-MX"/>
        </w:rPr>
        <w:t xml:space="preserve"> Estatal, </w:t>
      </w:r>
      <w:r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2825D8">
        <w:rPr>
          <w:rFonts w:asciiTheme="minorHAnsi" w:hAnsiTheme="minorHAnsi"/>
          <w:sz w:val="20"/>
          <w:szCs w:val="20"/>
          <w:lang w:val="es-MX"/>
        </w:rPr>
        <w:t xml:space="preserve">los sujetos obligados deberán entregar los archivos en el estado en que se encuentren,  por lo anterior se hace de su conocimiento que en la respuesta a la solicitud identificada como </w:t>
      </w:r>
      <w:r w:rsidR="002825D8" w:rsidRPr="002825D8">
        <w:rPr>
          <w:rFonts w:asciiTheme="minorHAnsi" w:hAnsiTheme="minorHAnsi"/>
          <w:b/>
          <w:sz w:val="20"/>
          <w:szCs w:val="20"/>
          <w:lang w:val="es-MX"/>
        </w:rPr>
        <w:t>000059</w:t>
      </w:r>
      <w:r w:rsidR="002825D8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="002825D8">
        <w:rPr>
          <w:rFonts w:asciiTheme="minorHAnsi" w:hAnsiTheme="minorHAnsi"/>
          <w:sz w:val="20"/>
          <w:szCs w:val="20"/>
          <w:lang w:val="es-MX"/>
        </w:rPr>
        <w:t>puede obtener la respuesta  a su solicitud dirigiéndose al siguiente enlace y localizando la solicitud referida:</w:t>
      </w:r>
    </w:p>
    <w:p w:rsidR="002825D8" w:rsidRDefault="00D549EB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hyperlink r:id="rId5" w:history="1">
        <w:r w:rsidR="002825D8" w:rsidRPr="00373259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http://www.ieebc.mx/transparencia/T_XXI_2016_1.html</w:t>
        </w:r>
      </w:hyperlink>
      <w:r w:rsidR="002825D8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2825D8" w:rsidRPr="002825D8" w:rsidRDefault="002825D8" w:rsidP="002825D8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MX"/>
        </w:rPr>
      </w:pPr>
      <w:r>
        <w:rPr>
          <w:noProof/>
          <w:sz w:val="20"/>
          <w:szCs w:val="20"/>
        </w:rPr>
        <w:drawing>
          <wp:inline distT="0" distB="0" distL="0" distR="0">
            <wp:extent cx="4705350" cy="1914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77" t="3022" r="11175" b="4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22" cy="191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D8" w:rsidRDefault="002825D8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D549E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7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562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26DB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25D8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3A78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696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2565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776B5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49EB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05EF0"/>
    <w:rsid w:val="00E10DC6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7826"/>
    <w:rsid w:val="00EA1EA5"/>
    <w:rsid w:val="00EA67B8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72C80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eebc.mx/transparencia/T_XXI_2016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2016-02-09T19:53:00Z</dcterms:created>
  <dcterms:modified xsi:type="dcterms:W3CDTF">2016-02-12T17:29:00Z</dcterms:modified>
</cp:coreProperties>
</file>