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6668EA">
        <w:rPr>
          <w:rFonts w:cs="Tahoma"/>
          <w:b/>
          <w:bCs/>
          <w:sz w:val="20"/>
          <w:szCs w:val="20"/>
          <w:lang w:val="es-ES"/>
        </w:rPr>
        <w:t>147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6668EA">
        <w:rPr>
          <w:rFonts w:cs="Tahoma"/>
          <w:sz w:val="20"/>
          <w:szCs w:val="20"/>
          <w:lang w:val="es-ES"/>
        </w:rPr>
        <w:t xml:space="preserve">1 8 </w:t>
      </w:r>
      <w:r w:rsidR="009D2360" w:rsidRPr="009D2360">
        <w:rPr>
          <w:rFonts w:cs="Tahoma"/>
          <w:sz w:val="20"/>
          <w:szCs w:val="20"/>
          <w:lang w:val="es-ES"/>
        </w:rPr>
        <w:t>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E793B" w:rsidRDefault="00CE793B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668EA">
        <w:rPr>
          <w:sz w:val="20"/>
          <w:szCs w:val="20"/>
          <w:lang w:val="es-ES"/>
        </w:rPr>
        <w:t>18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</w:t>
      </w:r>
      <w:r w:rsidR="006668EA">
        <w:rPr>
          <w:b/>
          <w:bCs/>
          <w:sz w:val="20"/>
          <w:szCs w:val="20"/>
          <w:lang w:val="es-ES"/>
        </w:rPr>
        <w:t>9</w:t>
      </w:r>
      <w:r w:rsidR="00852115">
        <w:rPr>
          <w:b/>
          <w:bCs/>
          <w:sz w:val="20"/>
          <w:szCs w:val="20"/>
          <w:lang w:val="es-ES"/>
        </w:rPr>
        <w:t>9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625B82" w:rsidRDefault="00730F52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</w:rPr>
        <w:br/>
      </w:r>
      <w:r w:rsidR="00EE689A" w:rsidRPr="009D2360">
        <w:rPr>
          <w:rFonts w:cs="Arial"/>
          <w:color w:val="000000"/>
          <w:shd w:val="clear" w:color="auto" w:fill="FFFFFF"/>
        </w:rPr>
        <w:t xml:space="preserve">La información </w:t>
      </w:r>
      <w:r w:rsidR="00531D46" w:rsidRPr="009D2360">
        <w:rPr>
          <w:rFonts w:cs="Arial"/>
          <w:color w:val="000000"/>
          <w:shd w:val="clear" w:color="auto" w:fill="FFFFFF"/>
        </w:rPr>
        <w:t xml:space="preserve">que solicita </w:t>
      </w:r>
      <w:r w:rsidR="00625B82" w:rsidRPr="009D2360">
        <w:rPr>
          <w:rFonts w:cs="Arial"/>
          <w:color w:val="000000"/>
          <w:shd w:val="clear" w:color="auto" w:fill="FFFFFF"/>
        </w:rPr>
        <w:t>no es facultad</w:t>
      </w:r>
      <w:r w:rsidR="00531D46" w:rsidRPr="009D2360">
        <w:rPr>
          <w:rFonts w:cs="Arial"/>
          <w:color w:val="000000"/>
          <w:shd w:val="clear" w:color="auto" w:fill="FFFFFF"/>
        </w:rPr>
        <w:t xml:space="preserve"> del Instituto Estatal Electoral del Estado de Baja California de conformidad con las facultades establecidas en el artículo 46 de la Ley Electoral del Estado de Baja California. </w:t>
      </w:r>
    </w:p>
    <w:p w:rsidR="009D2360" w:rsidRPr="009D2360" w:rsidRDefault="009D2360" w:rsidP="00531D46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9D2360" w:rsidRPr="009D2360" w:rsidRDefault="00531D46" w:rsidP="009D2360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9D2360">
        <w:rPr>
          <w:rFonts w:cs="Arial"/>
          <w:color w:val="000000"/>
          <w:shd w:val="clear" w:color="auto" w:fill="FFFFFF"/>
        </w:rPr>
        <w:t>Sin embargo, le sugerimos dirigir su solicitud al Instituto Nacional Electoral (INE) a través del siguiente enlace:</w:t>
      </w:r>
    </w:p>
    <w:p w:rsidR="000702A9" w:rsidRDefault="00480B33" w:rsidP="009D2360">
      <w:pPr>
        <w:spacing w:after="0" w:line="360" w:lineRule="auto"/>
        <w:jc w:val="center"/>
      </w:pPr>
      <w:hyperlink r:id="rId5" w:history="1">
        <w:r w:rsidR="009D2360" w:rsidRPr="009D2360">
          <w:rPr>
            <w:rStyle w:val="Hipervnculo"/>
          </w:rPr>
          <w:t>https://ciudadania.ife.org.mx/infomex/ActionInitSAILoginINFOMEX.do</w:t>
        </w:r>
      </w:hyperlink>
    </w:p>
    <w:p w:rsidR="009D2360" w:rsidRPr="009D2360" w:rsidRDefault="009D2360" w:rsidP="009D2360">
      <w:pPr>
        <w:spacing w:after="0" w:line="360" w:lineRule="auto"/>
        <w:jc w:val="center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480B33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Pr="006668EA" w:rsidRDefault="006668EA" w:rsidP="006668EA">
      <w:pPr>
        <w:jc w:val="center"/>
        <w:rPr>
          <w:sz w:val="20"/>
          <w:szCs w:val="20"/>
          <w:lang w:val="es-ES"/>
        </w:rPr>
      </w:pPr>
      <w:proofErr w:type="gramStart"/>
      <w:r w:rsidRPr="006668EA">
        <w:rPr>
          <w:sz w:val="20"/>
          <w:szCs w:val="20"/>
          <w:lang w:val="es-ES"/>
        </w:rPr>
        <w:t>de</w:t>
      </w:r>
      <w:proofErr w:type="gramEnd"/>
      <w:r w:rsidRPr="006668EA">
        <w:rPr>
          <w:sz w:val="20"/>
          <w:szCs w:val="20"/>
          <w:lang w:val="es-ES"/>
        </w:rPr>
        <w:t xml:space="preserve"> los Organismos Electorales”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s://ciudadania.ife.org.mx/infomex/ActionInitSAILoginINFOM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2016-02-12T02:38:00Z</dcterms:created>
  <dcterms:modified xsi:type="dcterms:W3CDTF">2016-02-19T21:05:00Z</dcterms:modified>
</cp:coreProperties>
</file>