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4748FA">
        <w:rPr>
          <w:rFonts w:ascii="Humanst521 BT" w:hAnsi="Humanst521 BT" w:cs="Tahoma"/>
          <w:b/>
          <w:bCs/>
          <w:lang w:val="es-ES"/>
        </w:rPr>
        <w:t>2</w:t>
      </w:r>
      <w:r w:rsidR="00966344">
        <w:rPr>
          <w:rFonts w:ascii="Humanst521 BT" w:hAnsi="Humanst521 BT" w:cs="Tahoma"/>
          <w:b/>
          <w:bCs/>
          <w:lang w:val="es-ES"/>
        </w:rPr>
        <w:t>5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1</w:t>
      </w:r>
      <w:r w:rsidR="00966344">
        <w:rPr>
          <w:rFonts w:ascii="Humanst521 BT" w:hAnsi="Humanst521 BT" w:cs="Tahoma"/>
          <w:lang w:val="es-ES"/>
        </w:rPr>
        <w:t>2</w:t>
      </w:r>
      <w:r w:rsidR="00A17BBD">
        <w:rPr>
          <w:rFonts w:ascii="Humanst521 BT" w:hAnsi="Humanst521 BT" w:cs="Tahoma"/>
          <w:lang w:val="es-ES"/>
        </w:rPr>
        <w:t xml:space="preserve"> de enero de 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A607CE" w:rsidRDefault="00A607CE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607CE" w:rsidRDefault="00A607CE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66344">
        <w:rPr>
          <w:rFonts w:ascii="Humanst521 BT" w:hAnsi="Humanst521 BT"/>
          <w:lang w:val="es-ES"/>
        </w:rPr>
        <w:t>4</w:t>
      </w:r>
      <w:r w:rsidR="00A17BBD">
        <w:rPr>
          <w:rFonts w:ascii="Humanst521 BT" w:hAnsi="Humanst521 BT"/>
          <w:lang w:val="es-ES"/>
        </w:rPr>
        <w:t xml:space="preserve">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00</w:t>
      </w:r>
      <w:r w:rsidR="00966344">
        <w:rPr>
          <w:rFonts w:ascii="Humanst521 BT" w:hAnsi="Humanst521 BT"/>
          <w:b/>
          <w:bCs/>
          <w:lang w:val="es-ES"/>
        </w:rPr>
        <w:t>1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330B3" w:rsidRDefault="003F7F46" w:rsidP="00966344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En términos del artículo </w:t>
      </w:r>
      <w:r w:rsidR="00966344">
        <w:rPr>
          <w:rFonts w:ascii="Humanst521 BT" w:hAnsi="Humanst521 BT"/>
        </w:rPr>
        <w:t>28 del Reglamento de Transparencia y Acceso a la Información Pública del Instituto Electoral y de Participación Ciudadana del Estado de Baja California</w:t>
      </w:r>
      <w:r>
        <w:rPr>
          <w:rFonts w:ascii="Humanst521 BT" w:hAnsi="Humanst521 BT"/>
        </w:rPr>
        <w:t xml:space="preserve">, </w:t>
      </w:r>
      <w:r w:rsidR="00966344">
        <w:rPr>
          <w:rFonts w:ascii="Humanst521 BT" w:hAnsi="Humanst521 BT"/>
        </w:rPr>
        <w:t>la información solicitada se trata de información del partido político  al que hace referencia en su solicitud, por lo cual le fue turnada en fecha 6 de enero del presente año, la solicitud en cuestión. Se adjunta el acuse de recibo del partido político el cual deberá darle respuesta en un plazo no mayor a diez días hábiles.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6A4B72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ED6117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A4B72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76485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66344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07CE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117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2015-12-01T21:17:00Z</cp:lastPrinted>
  <dcterms:created xsi:type="dcterms:W3CDTF">2016-01-11T19:28:00Z</dcterms:created>
  <dcterms:modified xsi:type="dcterms:W3CDTF">2016-01-29T02:06:00Z</dcterms:modified>
</cp:coreProperties>
</file>