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4E723A">
        <w:rPr>
          <w:rFonts w:cs="Tahoma"/>
          <w:b/>
          <w:bCs/>
          <w:sz w:val="20"/>
          <w:szCs w:val="20"/>
          <w:lang w:val="es-ES"/>
        </w:rPr>
        <w:t>49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9909FF">
        <w:rPr>
          <w:rFonts w:cs="Tahoma"/>
          <w:sz w:val="20"/>
          <w:szCs w:val="20"/>
          <w:lang w:val="es-ES"/>
        </w:rPr>
        <w:t>21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D7615A" w:rsidRDefault="00D7615A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D7615A" w:rsidRDefault="00D7615A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D4FC7">
        <w:rPr>
          <w:sz w:val="20"/>
          <w:szCs w:val="20"/>
          <w:lang w:val="es-ES"/>
        </w:rPr>
        <w:t xml:space="preserve"> información recibida el día 1</w:t>
      </w:r>
      <w:r w:rsidR="00511357">
        <w:rPr>
          <w:sz w:val="20"/>
          <w:szCs w:val="20"/>
          <w:lang w:val="es-ES"/>
        </w:rPr>
        <w:t>8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511357">
        <w:rPr>
          <w:b/>
          <w:bCs/>
          <w:sz w:val="20"/>
          <w:szCs w:val="20"/>
          <w:lang w:val="es-ES"/>
        </w:rPr>
        <w:t>37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BF1A18" w:rsidRDefault="00BF1A18" w:rsidP="009909FF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9909FF" w:rsidRDefault="00511357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Instituto Estatal Electoral no cuenta con módulos de atención en la ciudad de Tijuana.</w:t>
      </w:r>
    </w:p>
    <w:p w:rsidR="00BF1A18" w:rsidRDefault="00BF1A18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B246A8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B38D2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23A"/>
    <w:rsid w:val="004E7C34"/>
    <w:rsid w:val="004F023F"/>
    <w:rsid w:val="004F23F5"/>
    <w:rsid w:val="004F27B9"/>
    <w:rsid w:val="0050090A"/>
    <w:rsid w:val="0050406D"/>
    <w:rsid w:val="00511357"/>
    <w:rsid w:val="00523C92"/>
    <w:rsid w:val="00524777"/>
    <w:rsid w:val="00526097"/>
    <w:rsid w:val="0052665B"/>
    <w:rsid w:val="00531D46"/>
    <w:rsid w:val="0053231A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246A8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2FE7"/>
    <w:rsid w:val="00CE3352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7615A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2016-01-21T17:36:00Z</dcterms:created>
  <dcterms:modified xsi:type="dcterms:W3CDTF">2016-01-29T02:53:00Z</dcterms:modified>
</cp:coreProperties>
</file>