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2B0A3C">
        <w:rPr>
          <w:rFonts w:cs="Tahoma"/>
          <w:b/>
          <w:bCs/>
          <w:sz w:val="20"/>
          <w:szCs w:val="20"/>
          <w:lang w:val="es-ES"/>
        </w:rPr>
        <w:t>/6</w:t>
      </w:r>
      <w:r w:rsidR="0050483A">
        <w:rPr>
          <w:rFonts w:cs="Tahoma"/>
          <w:b/>
          <w:bCs/>
          <w:sz w:val="20"/>
          <w:szCs w:val="20"/>
          <w:lang w:val="es-ES"/>
        </w:rPr>
        <w:t>7</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441466">
        <w:rPr>
          <w:rFonts w:cs="Tahoma"/>
          <w:sz w:val="20"/>
          <w:szCs w:val="20"/>
          <w:lang w:val="es-ES"/>
        </w:rPr>
        <w:t xml:space="preserve"> </w:t>
      </w:r>
      <w:r w:rsidR="002B0A3C">
        <w:rPr>
          <w:rFonts w:cs="Tahoma"/>
          <w:sz w:val="20"/>
          <w:szCs w:val="20"/>
          <w:lang w:val="es-ES"/>
        </w:rPr>
        <w:t>25</w:t>
      </w:r>
      <w:r w:rsidR="000857DC">
        <w:rPr>
          <w:rFonts w:cs="Tahoma"/>
          <w:sz w:val="20"/>
          <w:szCs w:val="20"/>
          <w:lang w:val="es-ES"/>
        </w:rPr>
        <w:t xml:space="preserve"> de enero de 2016</w:t>
      </w:r>
    </w:p>
    <w:p w:rsidR="000702A9" w:rsidRDefault="000702A9" w:rsidP="00EE689A">
      <w:pPr>
        <w:spacing w:line="240" w:lineRule="auto"/>
        <w:contextualSpacing/>
        <w:rPr>
          <w:rFonts w:cs="Tahoma"/>
          <w:sz w:val="20"/>
          <w:szCs w:val="20"/>
          <w:lang w:val="es-ES"/>
        </w:rPr>
      </w:pPr>
    </w:p>
    <w:p w:rsidR="007C2556" w:rsidRDefault="007C2556" w:rsidP="0055220E">
      <w:pPr>
        <w:shd w:val="clear" w:color="auto" w:fill="FFFFFF"/>
        <w:spacing w:after="0" w:line="240" w:lineRule="auto"/>
        <w:rPr>
          <w:rFonts w:cs="Tahoma"/>
          <w:b/>
          <w:sz w:val="20"/>
          <w:szCs w:val="20"/>
          <w:lang w:val="es-ES"/>
        </w:rPr>
      </w:pPr>
    </w:p>
    <w:p w:rsidR="007C2556" w:rsidRDefault="007C2556" w:rsidP="0055220E">
      <w:pPr>
        <w:shd w:val="clear" w:color="auto" w:fill="FFFFFF"/>
        <w:spacing w:after="0" w:line="240" w:lineRule="auto"/>
        <w:rPr>
          <w:rFonts w:cs="Tahoma"/>
          <w:b/>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FC62F3" w:rsidRDefault="00EE689A" w:rsidP="0055220E">
      <w:pPr>
        <w:shd w:val="clear" w:color="auto" w:fill="FFFFFF"/>
        <w:spacing w:after="0" w:line="240" w:lineRule="auto"/>
        <w:rPr>
          <w:rFonts w:cs="Tahoma"/>
          <w:sz w:val="20"/>
          <w:szCs w:val="20"/>
          <w:lang w:val="es-ES"/>
        </w:rPr>
      </w:pPr>
    </w:p>
    <w:p w:rsidR="00FF157B" w:rsidRDefault="00FC466C" w:rsidP="00531D46">
      <w:pPr>
        <w:spacing w:after="0" w:line="360" w:lineRule="auto"/>
        <w:jc w:val="both"/>
        <w:rPr>
          <w:sz w:val="20"/>
          <w:szCs w:val="20"/>
          <w:lang w:val="es-ES"/>
        </w:rPr>
      </w:pPr>
      <w:r w:rsidRPr="00087BAC">
        <w:rPr>
          <w:sz w:val="20"/>
          <w:szCs w:val="20"/>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w:t>
      </w:r>
      <w:r w:rsidR="002B0A3C">
        <w:rPr>
          <w:sz w:val="20"/>
          <w:szCs w:val="20"/>
          <w:lang w:val="es-ES"/>
        </w:rPr>
        <w:t xml:space="preserve"> información recibida </w:t>
      </w:r>
      <w:r w:rsidR="0050483A">
        <w:rPr>
          <w:sz w:val="20"/>
          <w:szCs w:val="20"/>
          <w:lang w:val="es-ES"/>
        </w:rPr>
        <w:t>el día 22</w:t>
      </w:r>
      <w:r w:rsidR="00ED4FC7">
        <w:rPr>
          <w:sz w:val="20"/>
          <w:szCs w:val="20"/>
          <w:lang w:val="es-ES"/>
        </w:rPr>
        <w:t xml:space="preserve"> de en</w:t>
      </w:r>
      <w:r w:rsidR="00464C5B">
        <w:rPr>
          <w:sz w:val="20"/>
          <w:szCs w:val="20"/>
          <w:lang w:val="es-ES"/>
        </w:rPr>
        <w:t xml:space="preserve">ero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0857DC">
        <w:rPr>
          <w:b/>
          <w:bCs/>
          <w:sz w:val="20"/>
          <w:szCs w:val="20"/>
          <w:lang w:val="es-ES"/>
        </w:rPr>
        <w:t>0</w:t>
      </w:r>
      <w:r w:rsidR="008146C9">
        <w:rPr>
          <w:b/>
          <w:bCs/>
          <w:sz w:val="20"/>
          <w:szCs w:val="20"/>
          <w:lang w:val="es-ES"/>
        </w:rPr>
        <w:t>4</w:t>
      </w:r>
      <w:r w:rsidR="0050483A">
        <w:rPr>
          <w:b/>
          <w:bCs/>
          <w:sz w:val="20"/>
          <w:szCs w:val="20"/>
          <w:lang w:val="es-ES"/>
        </w:rPr>
        <w:t>8</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50483A" w:rsidRPr="00143DD1" w:rsidRDefault="0050483A" w:rsidP="0050483A">
      <w:pPr>
        <w:pStyle w:val="Texto"/>
        <w:spacing w:after="0" w:line="240" w:lineRule="auto"/>
        <w:rPr>
          <w:rFonts w:asciiTheme="minorHAnsi" w:hAnsiTheme="minorHAnsi"/>
          <w:b/>
          <w:sz w:val="22"/>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1:</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 xml:space="preserve">En relación con la pregunta número uno, relativa a las casillas especiales para la elección 2016, debe atenderse a lo establecido en el artículo 256 de la Ley General de Instituciones y Procedimientos Electorales, misma que establece que entre el 15 de enero y el 15 de abril del año de la elección, se deberá establecer la ubicación de las casillas. Para mayor claridad se transcribe el artículo referido: </w:t>
      </w: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 xml:space="preserve"> </w:t>
      </w: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w:t>
      </w:r>
      <w:r w:rsidRPr="0050483A">
        <w:rPr>
          <w:rFonts w:ascii="Calibri" w:hAnsi="Calibri"/>
          <w:b/>
          <w:sz w:val="20"/>
          <w:szCs w:val="22"/>
          <w:lang w:val="es-ES_tradnl"/>
        </w:rPr>
        <w:t>Artículo 256.</w:t>
      </w:r>
    </w:p>
    <w:p w:rsidR="0050483A" w:rsidRPr="0050483A" w:rsidRDefault="0050483A" w:rsidP="0050483A">
      <w:pPr>
        <w:pStyle w:val="Texto"/>
        <w:spacing w:after="0" w:line="240" w:lineRule="auto"/>
        <w:rPr>
          <w:rFonts w:ascii="Calibri" w:hAnsi="Calibri"/>
          <w:b/>
          <w:sz w:val="20"/>
          <w:szCs w:val="22"/>
          <w:lang w:val="es-ES_tradnl"/>
        </w:rPr>
      </w:pPr>
    </w:p>
    <w:p w:rsidR="0050483A" w:rsidRPr="0050483A" w:rsidRDefault="0050483A" w:rsidP="0050483A">
      <w:pPr>
        <w:pStyle w:val="Texto"/>
        <w:spacing w:after="0" w:line="240" w:lineRule="auto"/>
        <w:rPr>
          <w:rFonts w:ascii="Calibri" w:hAnsi="Calibri"/>
          <w:sz w:val="20"/>
          <w:szCs w:val="22"/>
          <w:lang w:val="es-ES_tradnl"/>
        </w:rPr>
      </w:pPr>
      <w:r w:rsidRPr="0050483A">
        <w:rPr>
          <w:rFonts w:ascii="Calibri" w:hAnsi="Calibri"/>
          <w:b/>
          <w:sz w:val="20"/>
          <w:szCs w:val="22"/>
          <w:lang w:val="es-ES_tradnl"/>
        </w:rPr>
        <w:t>1.</w:t>
      </w:r>
      <w:r w:rsidRPr="0050483A">
        <w:rPr>
          <w:rFonts w:ascii="Calibri" w:hAnsi="Calibri"/>
          <w:sz w:val="20"/>
          <w:szCs w:val="22"/>
          <w:lang w:val="es-ES_tradnl"/>
        </w:rPr>
        <w:t xml:space="preserve"> El procedimiento para determinar la ubicación de las casillas será el siguiente:</w:t>
      </w:r>
    </w:p>
    <w:p w:rsidR="0050483A" w:rsidRPr="0050483A" w:rsidRDefault="0050483A" w:rsidP="0050483A">
      <w:pPr>
        <w:pStyle w:val="Texto"/>
        <w:spacing w:after="0" w:line="240" w:lineRule="auto"/>
        <w:ind w:left="720" w:hanging="432"/>
        <w:rPr>
          <w:rFonts w:ascii="Calibri" w:hAnsi="Calibri"/>
          <w:b/>
          <w:sz w:val="20"/>
          <w:szCs w:val="22"/>
          <w:lang w:val="es-ES_tradnl"/>
        </w:rPr>
      </w:pPr>
    </w:p>
    <w:p w:rsidR="0050483A" w:rsidRPr="0050483A" w:rsidRDefault="0050483A" w:rsidP="0050483A">
      <w:pPr>
        <w:pStyle w:val="Texto"/>
        <w:spacing w:after="0" w:line="240" w:lineRule="auto"/>
        <w:ind w:left="720" w:hanging="432"/>
        <w:rPr>
          <w:rFonts w:ascii="Calibri" w:hAnsi="Calibri"/>
          <w:b/>
          <w:i/>
          <w:sz w:val="20"/>
          <w:szCs w:val="22"/>
          <w:u w:val="single"/>
          <w:lang w:val="es-ES_tradnl"/>
        </w:rPr>
      </w:pPr>
      <w:r w:rsidRPr="0050483A">
        <w:rPr>
          <w:rFonts w:ascii="Calibri" w:hAnsi="Calibri"/>
          <w:b/>
          <w:sz w:val="20"/>
          <w:szCs w:val="22"/>
          <w:lang w:val="es-ES_tradnl"/>
        </w:rPr>
        <w:t>a)</w:t>
      </w:r>
      <w:r w:rsidRPr="0050483A">
        <w:rPr>
          <w:rFonts w:ascii="Calibri" w:hAnsi="Calibri"/>
          <w:sz w:val="20"/>
          <w:szCs w:val="22"/>
          <w:lang w:val="es-ES_tradnl"/>
        </w:rPr>
        <w:tab/>
      </w:r>
      <w:r w:rsidRPr="0050483A">
        <w:rPr>
          <w:rFonts w:ascii="Calibri" w:hAnsi="Calibri"/>
          <w:b/>
          <w:i/>
          <w:sz w:val="20"/>
          <w:szCs w:val="22"/>
          <w:u w:val="single"/>
          <w:lang w:val="es-ES_tradnl"/>
        </w:rPr>
        <w:t>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50483A" w:rsidRPr="0050483A" w:rsidRDefault="0050483A" w:rsidP="0050483A">
      <w:pPr>
        <w:pStyle w:val="Texto"/>
        <w:spacing w:after="0" w:line="240" w:lineRule="auto"/>
        <w:ind w:left="720" w:hanging="432"/>
        <w:rPr>
          <w:rFonts w:ascii="Calibri" w:hAnsi="Calibri"/>
          <w:b/>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b)</w:t>
      </w:r>
      <w:r w:rsidRPr="0050483A">
        <w:rPr>
          <w:rFonts w:ascii="Calibri" w:hAnsi="Calibri"/>
          <w:sz w:val="20"/>
          <w:szCs w:val="22"/>
          <w:lang w:val="es-ES_tradnl"/>
        </w:rPr>
        <w:tab/>
        <w:t>Entre el 16 y el 26 de febrero, las juntas distritales ejecutivas presentarán a los consejos distritales correspondientes una lista proponiendo los lugares en que habrán de ubicarse las casillas;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c)</w:t>
      </w:r>
      <w:r w:rsidRPr="0050483A">
        <w:rPr>
          <w:rFonts w:ascii="Calibri" w:hAnsi="Calibri"/>
          <w:sz w:val="20"/>
          <w:szCs w:val="22"/>
          <w:lang w:val="es-ES_tradnl"/>
        </w:rPr>
        <w:tab/>
        <w:t>Recibidas las listas, los consejos examinarán que los lugares propuestos cumplan con los requisitos fijados por el artículo anterior y, en su caso, harán los cambios necesarios;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b/>
          <w:i/>
          <w:sz w:val="20"/>
          <w:szCs w:val="22"/>
          <w:u w:val="single"/>
          <w:lang w:val="es-ES_tradnl"/>
        </w:rPr>
      </w:pPr>
      <w:r w:rsidRPr="0050483A">
        <w:rPr>
          <w:rFonts w:ascii="Calibri" w:hAnsi="Calibri"/>
          <w:b/>
          <w:sz w:val="20"/>
          <w:szCs w:val="22"/>
          <w:lang w:val="es-ES_tradnl"/>
        </w:rPr>
        <w:t>d)</w:t>
      </w:r>
      <w:r w:rsidRPr="0050483A">
        <w:rPr>
          <w:rFonts w:ascii="Calibri" w:hAnsi="Calibri"/>
          <w:sz w:val="20"/>
          <w:szCs w:val="22"/>
          <w:lang w:val="es-ES_tradnl"/>
        </w:rPr>
        <w:tab/>
      </w:r>
      <w:r w:rsidRPr="0050483A">
        <w:rPr>
          <w:rFonts w:ascii="Calibri" w:hAnsi="Calibri"/>
          <w:b/>
          <w:i/>
          <w:sz w:val="20"/>
          <w:szCs w:val="22"/>
          <w:u w:val="single"/>
          <w:lang w:val="es-ES_tradnl"/>
        </w:rPr>
        <w:t>Los consejos distritales, en sesión que celebren a más tardar durante la segunda semana de abril, aprobarán la lista en la que se contenga la ubicación de las casillas;</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Calibri" w:hAnsi="Calibri"/>
          <w:sz w:val="20"/>
          <w:szCs w:val="22"/>
          <w:lang w:val="es-ES_tradnl"/>
        </w:rPr>
      </w:pPr>
      <w:r w:rsidRPr="0050483A">
        <w:rPr>
          <w:rFonts w:ascii="Calibri" w:hAnsi="Calibri"/>
          <w:b/>
          <w:sz w:val="20"/>
          <w:szCs w:val="22"/>
          <w:lang w:val="es-ES_tradnl"/>
        </w:rPr>
        <w:t>e)</w:t>
      </w:r>
      <w:r w:rsidRPr="0050483A">
        <w:rPr>
          <w:rFonts w:ascii="Calibri" w:hAnsi="Calibri"/>
          <w:sz w:val="20"/>
          <w:szCs w:val="22"/>
          <w:lang w:val="es-ES_tradnl"/>
        </w:rPr>
        <w:tab/>
        <w:t>El presidente del consejo distrital ordenará la publicación de la lista de ubicación de casillas aprobadas, a más tardar el 15 de abril del año de la elección, y</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left="720" w:hanging="432"/>
        <w:rPr>
          <w:rFonts w:asciiTheme="minorHAnsi" w:hAnsiTheme="minorHAnsi"/>
          <w:sz w:val="20"/>
          <w:szCs w:val="22"/>
          <w:lang w:val="es-ES_tradnl"/>
        </w:rPr>
      </w:pPr>
      <w:r w:rsidRPr="0050483A">
        <w:rPr>
          <w:rFonts w:ascii="Calibri" w:hAnsi="Calibri"/>
          <w:b/>
          <w:sz w:val="20"/>
          <w:szCs w:val="22"/>
          <w:lang w:val="es-ES_tradnl"/>
        </w:rPr>
        <w:t>f)</w:t>
      </w:r>
      <w:r w:rsidRPr="0050483A">
        <w:rPr>
          <w:rFonts w:ascii="Calibri" w:hAnsi="Calibri"/>
          <w:sz w:val="20"/>
          <w:szCs w:val="22"/>
          <w:lang w:val="es-ES_tradnl"/>
        </w:rPr>
        <w:tab/>
        <w:t>En su caso, el presidente del consejo distrital ordenará una segunda publicación de la lista, con los ajustes correspondientes, entre el día 15 y el 25 de mayo del año de la elección.</w:t>
      </w:r>
      <w:r w:rsidRPr="0050483A">
        <w:rPr>
          <w:rFonts w:asciiTheme="minorHAnsi" w:hAnsiTheme="minorHAnsi"/>
          <w:sz w:val="20"/>
          <w:szCs w:val="22"/>
          <w:lang w:val="es-ES_tradnl"/>
        </w:rPr>
        <w:t>”</w:t>
      </w:r>
    </w:p>
    <w:p w:rsidR="0050483A" w:rsidRPr="0050483A" w:rsidRDefault="0050483A" w:rsidP="0050483A">
      <w:pPr>
        <w:pStyle w:val="Texto"/>
        <w:spacing w:after="0" w:line="240" w:lineRule="auto"/>
        <w:ind w:left="720" w:hanging="432"/>
        <w:rPr>
          <w:rFonts w:asciiTheme="minorHAnsi" w:hAnsiTheme="minorHAnsi"/>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w:t>
      </w:r>
      <w:r w:rsidRPr="0050483A">
        <w:rPr>
          <w:rFonts w:ascii="Calibri" w:hAnsi="Calibri"/>
          <w:b/>
          <w:sz w:val="20"/>
          <w:szCs w:val="22"/>
          <w:lang w:val="es-ES_tradnl"/>
        </w:rPr>
        <w:t>Artículo 253.</w:t>
      </w:r>
    </w:p>
    <w:p w:rsidR="0050483A" w:rsidRPr="0050483A" w:rsidRDefault="0050483A" w:rsidP="0050483A">
      <w:pPr>
        <w:pStyle w:val="Texto"/>
        <w:spacing w:after="0" w:line="240" w:lineRule="auto"/>
        <w:rPr>
          <w:rFonts w:ascii="Calibri" w:hAnsi="Calibri"/>
          <w:b/>
          <w:sz w:val="20"/>
          <w:szCs w:val="22"/>
          <w:lang w:val="es-ES_tradnl"/>
        </w:rPr>
      </w:pPr>
      <w:r w:rsidRPr="0050483A">
        <w:rPr>
          <w:rFonts w:asciiTheme="minorHAnsi" w:hAnsiTheme="minorHAnsi"/>
          <w:b/>
          <w:sz w:val="20"/>
          <w:szCs w:val="22"/>
          <w:lang w:val="es-ES_tradnl"/>
        </w:rPr>
        <w:t>…</w:t>
      </w:r>
    </w:p>
    <w:p w:rsidR="0050483A" w:rsidRPr="0050483A" w:rsidRDefault="0050483A" w:rsidP="0050483A">
      <w:pPr>
        <w:pStyle w:val="Texto"/>
        <w:numPr>
          <w:ilvl w:val="0"/>
          <w:numId w:val="6"/>
        </w:numPr>
        <w:spacing w:after="0" w:line="240" w:lineRule="auto"/>
        <w:rPr>
          <w:rFonts w:asciiTheme="minorHAnsi" w:hAnsiTheme="minorHAnsi"/>
          <w:sz w:val="20"/>
          <w:szCs w:val="22"/>
          <w:lang w:val="es-ES_tradnl"/>
        </w:rPr>
      </w:pPr>
      <w:r w:rsidRPr="0050483A">
        <w:rPr>
          <w:rFonts w:ascii="Calibri" w:hAnsi="Calibri"/>
          <w:sz w:val="20"/>
          <w:szCs w:val="22"/>
          <w:lang w:val="es-ES_tradnl"/>
        </w:rPr>
        <w:t xml:space="preserve">En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w:t>
      </w:r>
      <w:r w:rsidRPr="0050483A">
        <w:rPr>
          <w:rFonts w:ascii="Calibri" w:hAnsi="Calibri"/>
          <w:sz w:val="20"/>
          <w:szCs w:val="22"/>
          <w:lang w:val="es-ES_tradnl"/>
        </w:rPr>
        <w:lastRenderedPageBreak/>
        <w:t>conformidad con lo dispuesto en este capítulo y los acuerdos que emita el Consejo General del Instituto.</w:t>
      </w:r>
      <w:r w:rsidRPr="0050483A">
        <w:rPr>
          <w:rFonts w:asciiTheme="minorHAnsi" w:hAnsiTheme="minorHAnsi"/>
          <w:sz w:val="20"/>
          <w:szCs w:val="22"/>
          <w:lang w:val="es-ES_tradnl"/>
        </w:rPr>
        <w:t>”</w:t>
      </w:r>
    </w:p>
    <w:p w:rsidR="0050483A" w:rsidRPr="0050483A" w:rsidRDefault="0050483A" w:rsidP="0050483A">
      <w:pPr>
        <w:pStyle w:val="Texto"/>
        <w:spacing w:after="0" w:line="240" w:lineRule="auto"/>
        <w:rPr>
          <w:rFonts w:ascii="Calibri" w:hAnsi="Calibri"/>
          <w:b/>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2:</w:t>
      </w:r>
    </w:p>
    <w:p w:rsidR="0050483A" w:rsidRPr="0050483A" w:rsidRDefault="0050483A" w:rsidP="0050483A">
      <w:pPr>
        <w:pStyle w:val="Texto"/>
        <w:spacing w:after="0" w:line="240" w:lineRule="auto"/>
        <w:ind w:left="720" w:hanging="432"/>
        <w:rPr>
          <w:rFonts w:ascii="Calibri" w:hAnsi="Calibri"/>
          <w:sz w:val="20"/>
          <w:szCs w:val="22"/>
          <w:lang w:val="es-ES_tradnl"/>
        </w:rPr>
      </w:pPr>
    </w:p>
    <w:p w:rsidR="0050483A" w:rsidRPr="0050483A" w:rsidRDefault="0050483A" w:rsidP="0050483A">
      <w:pPr>
        <w:pStyle w:val="Texto"/>
        <w:spacing w:after="0" w:line="240" w:lineRule="auto"/>
        <w:ind w:firstLine="0"/>
        <w:rPr>
          <w:rFonts w:asciiTheme="minorHAnsi" w:hAnsiTheme="minorHAnsi"/>
          <w:sz w:val="20"/>
          <w:szCs w:val="22"/>
          <w:lang w:val="es-ES_tradnl"/>
        </w:rPr>
      </w:pPr>
      <w:r w:rsidRPr="0050483A">
        <w:rPr>
          <w:rFonts w:asciiTheme="minorHAnsi" w:hAnsiTheme="minorHAnsi"/>
          <w:sz w:val="20"/>
          <w:szCs w:val="22"/>
          <w:lang w:val="es-ES_tradnl"/>
        </w:rPr>
        <w:t>Por lo que respecta a los topes de gastos de precampaña, puede consultar el dictamen número ocho de la Comisión del Régimen de Partidos Políticos, donde se aprobaron los topes máximos de gastos de  precampaña dentro del proceso electoral ordinario 2015-2016, en el siguiente enlace:</w:t>
      </w:r>
    </w:p>
    <w:p w:rsidR="0050483A" w:rsidRPr="0050483A" w:rsidRDefault="0050483A" w:rsidP="0050483A">
      <w:pPr>
        <w:pStyle w:val="Texto"/>
        <w:spacing w:after="0" w:line="240" w:lineRule="auto"/>
        <w:ind w:firstLine="0"/>
        <w:rPr>
          <w:rFonts w:asciiTheme="minorHAnsi" w:hAnsiTheme="minorHAnsi"/>
          <w:sz w:val="20"/>
          <w:szCs w:val="22"/>
          <w:lang w:val="es-ES_tradnl"/>
        </w:rPr>
      </w:pPr>
    </w:p>
    <w:p w:rsidR="0050483A" w:rsidRPr="0050483A" w:rsidRDefault="000E2332" w:rsidP="0050483A">
      <w:pPr>
        <w:pStyle w:val="Texto"/>
        <w:spacing w:after="0" w:line="240" w:lineRule="auto"/>
        <w:ind w:firstLine="0"/>
        <w:rPr>
          <w:rFonts w:ascii="Calibri" w:hAnsi="Calibri"/>
          <w:sz w:val="20"/>
          <w:szCs w:val="22"/>
          <w:lang w:val="es-ES_tradnl"/>
        </w:rPr>
      </w:pPr>
      <w:hyperlink r:id="rId5" w:history="1">
        <w:r w:rsidR="0050483A" w:rsidRPr="0050483A">
          <w:rPr>
            <w:rStyle w:val="Hipervnculo"/>
            <w:rFonts w:asciiTheme="minorHAnsi" w:hAnsiTheme="minorHAnsi"/>
            <w:sz w:val="20"/>
            <w:szCs w:val="22"/>
            <w:lang w:val="es-ES_tradnl"/>
          </w:rPr>
          <w:t>http://www.ieebc.mx/archivos/sesiones/sesiones2015/ext/dictamenes/DIC%208%20CRPPF.pdf</w:t>
        </w:r>
      </w:hyperlink>
      <w:r w:rsidR="0050483A" w:rsidRPr="0050483A">
        <w:rPr>
          <w:rFonts w:asciiTheme="minorHAnsi" w:hAnsiTheme="minorHAnsi"/>
          <w:sz w:val="20"/>
          <w:szCs w:val="22"/>
          <w:lang w:val="es-ES_tradnl"/>
        </w:rPr>
        <w:t xml:space="preserve"> </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b/>
          <w:sz w:val="20"/>
          <w:szCs w:val="22"/>
          <w:lang w:val="es-ES_tradnl"/>
        </w:rPr>
      </w:pPr>
      <w:r w:rsidRPr="0050483A">
        <w:rPr>
          <w:rFonts w:asciiTheme="minorHAnsi" w:hAnsiTheme="minorHAnsi"/>
          <w:b/>
          <w:sz w:val="20"/>
          <w:szCs w:val="22"/>
          <w:lang w:val="es-ES_tradnl"/>
        </w:rPr>
        <w:t>PREGUNTA 3:</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0" w:line="240" w:lineRule="auto"/>
        <w:rPr>
          <w:rFonts w:asciiTheme="minorHAnsi" w:hAnsiTheme="minorHAnsi"/>
          <w:sz w:val="20"/>
          <w:szCs w:val="22"/>
          <w:lang w:val="es-ES_tradnl"/>
        </w:rPr>
      </w:pPr>
      <w:r w:rsidRPr="0050483A">
        <w:rPr>
          <w:rFonts w:asciiTheme="minorHAnsi" w:hAnsiTheme="minorHAnsi"/>
          <w:sz w:val="20"/>
          <w:szCs w:val="22"/>
          <w:lang w:val="es-ES_tradnl"/>
        </w:rPr>
        <w:t>Ahora bien respecto del tercer cuestionamiento, se le informa que el Reglamento de Fiscalización emitido por el Instituto Nacional Electoral, publicado en el Diario Oficial de la Federación el 22 de enero de 2015, en su artículo 207:</w:t>
      </w:r>
    </w:p>
    <w:p w:rsidR="0050483A" w:rsidRPr="0050483A" w:rsidRDefault="0050483A" w:rsidP="0050483A">
      <w:pPr>
        <w:pStyle w:val="Texto"/>
        <w:spacing w:after="0" w:line="240" w:lineRule="auto"/>
        <w:rPr>
          <w:rFonts w:asciiTheme="minorHAnsi" w:hAnsiTheme="minorHAnsi"/>
          <w:b/>
          <w:sz w:val="20"/>
          <w:szCs w:val="22"/>
          <w:lang w:val="es-ES_tradnl"/>
        </w:rPr>
      </w:pPr>
    </w:p>
    <w:p w:rsidR="0050483A" w:rsidRPr="0050483A" w:rsidRDefault="0050483A" w:rsidP="0050483A">
      <w:pPr>
        <w:pStyle w:val="Texto"/>
        <w:spacing w:after="80"/>
        <w:rPr>
          <w:rFonts w:ascii="Calibri" w:hAnsi="Calibri"/>
          <w:b/>
          <w:sz w:val="20"/>
          <w:szCs w:val="22"/>
        </w:rPr>
      </w:pPr>
      <w:r w:rsidRPr="0050483A">
        <w:rPr>
          <w:rFonts w:ascii="Calibri" w:hAnsi="Calibri"/>
          <w:b/>
          <w:sz w:val="20"/>
          <w:szCs w:val="22"/>
          <w:u w:val="single"/>
        </w:rPr>
        <w:t>Artículo 207.</w:t>
      </w:r>
    </w:p>
    <w:p w:rsidR="0050483A" w:rsidRPr="0050483A" w:rsidRDefault="0050483A" w:rsidP="0050483A">
      <w:pPr>
        <w:pStyle w:val="Texto"/>
        <w:spacing w:after="80"/>
        <w:rPr>
          <w:rFonts w:ascii="Calibri" w:hAnsi="Calibri"/>
          <w:b/>
          <w:i/>
          <w:sz w:val="20"/>
          <w:szCs w:val="22"/>
        </w:rPr>
      </w:pPr>
      <w:r w:rsidRPr="0050483A">
        <w:rPr>
          <w:rFonts w:ascii="Calibri" w:hAnsi="Calibri"/>
          <w:b/>
          <w:i/>
          <w:sz w:val="20"/>
          <w:szCs w:val="22"/>
        </w:rPr>
        <w:t>Requisitos para la contratación de anuncios espectaculares</w:t>
      </w:r>
    </w:p>
    <w:p w:rsidR="0050483A" w:rsidRPr="0050483A" w:rsidRDefault="0050483A" w:rsidP="0050483A">
      <w:pPr>
        <w:pStyle w:val="Texto"/>
        <w:spacing w:after="80"/>
        <w:rPr>
          <w:rFonts w:ascii="Calibri" w:hAnsi="Calibri"/>
          <w:sz w:val="20"/>
          <w:szCs w:val="22"/>
        </w:rPr>
      </w:pPr>
      <w:r w:rsidRPr="0050483A">
        <w:rPr>
          <w:rFonts w:ascii="Calibri" w:hAnsi="Calibri"/>
          <w:sz w:val="20"/>
          <w:szCs w:val="22"/>
        </w:rPr>
        <w:t>1. Los partidos, coaliciones y candidatos independientes, solo podrán contratar publicidad considerada como anuncios espectaculares, panorámicos o carteleras para sus campañas electorales, ajustándose a las disposiciones siguientes:</w:t>
      </w:r>
    </w:p>
    <w:p w:rsidR="0050483A" w:rsidRPr="0050483A" w:rsidRDefault="0050483A" w:rsidP="0050483A">
      <w:pPr>
        <w:pStyle w:val="Texto"/>
        <w:spacing w:after="80"/>
        <w:ind w:left="979" w:hanging="432"/>
        <w:rPr>
          <w:rFonts w:ascii="Calibri" w:hAnsi="Calibri"/>
          <w:sz w:val="20"/>
          <w:szCs w:val="22"/>
        </w:rPr>
      </w:pPr>
      <w:r w:rsidRPr="0050483A">
        <w:rPr>
          <w:rFonts w:ascii="Calibri" w:hAnsi="Calibri"/>
          <w:sz w:val="20"/>
          <w:szCs w:val="22"/>
        </w:rPr>
        <w:t>a)</w:t>
      </w:r>
      <w:r w:rsidRPr="0050483A">
        <w:rPr>
          <w:rFonts w:ascii="Calibri" w:hAnsi="Calibri"/>
          <w:sz w:val="20"/>
          <w:szCs w:val="22"/>
        </w:rPr>
        <w:tab/>
        <w:t>Se entenderán como espectaculares, los anuncios panorámicos colocados en estructura de publicidad exterior, consistente en un soporte plano sobre el que se fijan anuncios que contengan la imagen, el nombre de aspirantes, precandidatos, candidatos o candidatos independientes; emblemas, lemas, frases o plataformas electorales que identifiquen a un partido o coalición o a cualquiera de sus precandidatos o candidatos así como aspirantes y candidatos independientes, cuando hagan alusión a favor o en contra cualquier tipo de campaña o candidato, que fueron o debieron ser contratados y pagados, invariablemente por el partido o coalición.</w:t>
      </w:r>
    </w:p>
    <w:p w:rsidR="0050483A" w:rsidRPr="0050483A" w:rsidRDefault="0050483A" w:rsidP="0050483A">
      <w:pPr>
        <w:pStyle w:val="Texto"/>
        <w:spacing w:after="80"/>
        <w:ind w:left="979" w:hanging="432"/>
        <w:rPr>
          <w:rFonts w:ascii="Calibri" w:hAnsi="Calibri"/>
          <w:sz w:val="20"/>
          <w:szCs w:val="22"/>
        </w:rPr>
      </w:pPr>
      <w:r w:rsidRPr="0050483A">
        <w:rPr>
          <w:rFonts w:ascii="Calibri" w:hAnsi="Calibri"/>
          <w:sz w:val="20"/>
          <w:szCs w:val="22"/>
        </w:rPr>
        <w:t>b)</w:t>
      </w:r>
      <w:r w:rsidRPr="0050483A">
        <w:rPr>
          <w:rFonts w:ascii="Calibri" w:hAnsi="Calibri"/>
          <w:sz w:val="20"/>
          <w:szCs w:val="22"/>
        </w:rPr>
        <w:tab/>
      </w:r>
      <w:r w:rsidRPr="0050483A">
        <w:rPr>
          <w:rFonts w:ascii="Calibri" w:hAnsi="Calibri"/>
          <w:b/>
          <w:i/>
          <w:sz w:val="20"/>
          <w:szCs w:val="22"/>
          <w:u w:val="single"/>
        </w:rPr>
        <w:t>Se entiende por anuncios espectaculares panorámicos o carteleras, toda propaganda asentada sobre una estructura metálica con un área igual o superior a doce metros cuadrados, que se contrate y difunda en la vía pública</w:t>
      </w:r>
      <w:r w:rsidRPr="0050483A">
        <w:rPr>
          <w:rFonts w:ascii="Calibri" w:hAnsi="Calibri"/>
          <w:sz w:val="20"/>
          <w:szCs w:val="22"/>
        </w:rPr>
        <w:t>; así como la que se coloque en cualquier espacio físico en lugares donde se celebren eventos públicos, de espectáculos o deportivos, así sea solamente durante la celebración de éstos y cualquier otro medio similar.</w:t>
      </w:r>
    </w:p>
    <w:p w:rsidR="0050483A" w:rsidRPr="00143DD1" w:rsidRDefault="0050483A" w:rsidP="0050483A">
      <w:pPr>
        <w:pStyle w:val="Texto"/>
        <w:spacing w:after="0" w:line="240" w:lineRule="auto"/>
        <w:rPr>
          <w:rFonts w:ascii="Calibri" w:hAnsi="Calibri"/>
          <w:b/>
          <w:sz w:val="22"/>
          <w:szCs w:val="22"/>
        </w:rPr>
      </w:pPr>
    </w:p>
    <w:p w:rsidR="00D75D32" w:rsidRPr="0050483A" w:rsidRDefault="00D75D32" w:rsidP="00087BAC">
      <w:pPr>
        <w:pStyle w:val="Textosinformato"/>
        <w:spacing w:line="360" w:lineRule="auto"/>
        <w:jc w:val="both"/>
        <w:rPr>
          <w:rFonts w:asciiTheme="minorHAnsi" w:hAnsiTheme="minorHAnsi"/>
          <w:sz w:val="20"/>
          <w:szCs w:val="20"/>
          <w:lang w:val="es-ES"/>
        </w:rPr>
      </w:pP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0E2332" w:rsidP="00087BAC">
      <w:pPr>
        <w:pStyle w:val="Textosinformato"/>
        <w:spacing w:line="360" w:lineRule="auto"/>
        <w:jc w:val="center"/>
        <w:rPr>
          <w:rFonts w:asciiTheme="minorHAnsi" w:hAnsiTheme="minorHAnsi"/>
          <w:color w:val="3333FF"/>
          <w:sz w:val="20"/>
          <w:szCs w:val="20"/>
          <w:u w:val="single"/>
          <w:lang w:val="es-MX"/>
        </w:rPr>
      </w:pPr>
      <w:hyperlink r:id="rId6"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42DE"/>
    <w:multiLevelType w:val="hybridMultilevel"/>
    <w:tmpl w:val="19647F52"/>
    <w:lvl w:ilvl="0" w:tplc="71F40DB4">
      <w:start w:val="1"/>
      <w:numFmt w:val="decimal"/>
      <w:lvlText w:val="%1."/>
      <w:lvlJc w:val="left"/>
      <w:pPr>
        <w:ind w:left="828" w:hanging="54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4B59"/>
    <w:rsid w:val="000024C6"/>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2332"/>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84A57"/>
    <w:rsid w:val="0019477C"/>
    <w:rsid w:val="00196226"/>
    <w:rsid w:val="001B1E0D"/>
    <w:rsid w:val="001B374B"/>
    <w:rsid w:val="001C0865"/>
    <w:rsid w:val="001D0EEA"/>
    <w:rsid w:val="001E03B4"/>
    <w:rsid w:val="001E1A69"/>
    <w:rsid w:val="0020063D"/>
    <w:rsid w:val="0021570B"/>
    <w:rsid w:val="00220D77"/>
    <w:rsid w:val="002226F1"/>
    <w:rsid w:val="00232F55"/>
    <w:rsid w:val="00236BD8"/>
    <w:rsid w:val="00240182"/>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0A3C"/>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0483A"/>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A43"/>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C2556"/>
    <w:rsid w:val="007D0744"/>
    <w:rsid w:val="007D1432"/>
    <w:rsid w:val="007D3C15"/>
    <w:rsid w:val="007E6168"/>
    <w:rsid w:val="007F0C4A"/>
    <w:rsid w:val="008037BE"/>
    <w:rsid w:val="00814267"/>
    <w:rsid w:val="008146C9"/>
    <w:rsid w:val="00816C46"/>
    <w:rsid w:val="008173E1"/>
    <w:rsid w:val="0082311F"/>
    <w:rsid w:val="0083005D"/>
    <w:rsid w:val="008311C2"/>
    <w:rsid w:val="00834614"/>
    <w:rsid w:val="00835EF8"/>
    <w:rsid w:val="008509D7"/>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6335"/>
    <w:rsid w:val="00977CBC"/>
    <w:rsid w:val="00983A17"/>
    <w:rsid w:val="009909FF"/>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03B5"/>
    <w:rsid w:val="00BD3B43"/>
    <w:rsid w:val="00BD3FCD"/>
    <w:rsid w:val="00BE1758"/>
    <w:rsid w:val="00BE2E0C"/>
    <w:rsid w:val="00BF16B9"/>
    <w:rsid w:val="00BF1A18"/>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E3352"/>
    <w:rsid w:val="00CF2A92"/>
    <w:rsid w:val="00CF72AF"/>
    <w:rsid w:val="00D06504"/>
    <w:rsid w:val="00D07238"/>
    <w:rsid w:val="00D1409D"/>
    <w:rsid w:val="00D14F4C"/>
    <w:rsid w:val="00D1666E"/>
    <w:rsid w:val="00D17AAA"/>
    <w:rsid w:val="00D2033C"/>
    <w:rsid w:val="00D277B3"/>
    <w:rsid w:val="00D33F98"/>
    <w:rsid w:val="00D42A57"/>
    <w:rsid w:val="00D55EAF"/>
    <w:rsid w:val="00D64099"/>
    <w:rsid w:val="00D64667"/>
    <w:rsid w:val="00D741AA"/>
    <w:rsid w:val="00D75D32"/>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4FC7"/>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7072"/>
    <w:rsid w:val="00FA77AE"/>
    <w:rsid w:val="00FB0F40"/>
    <w:rsid w:val="00FC22F7"/>
    <w:rsid w:val="00FC466C"/>
    <w:rsid w:val="00FC62F3"/>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www.ieebc.mx/archivos/sesiones/sesiones2015/ext/dictamenes/DIC%208%20CRPPF.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2016-01-26T00:46:00Z</dcterms:created>
  <dcterms:modified xsi:type="dcterms:W3CDTF">2016-01-29T02:59:00Z</dcterms:modified>
</cp:coreProperties>
</file>