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Pr="00087BAC" w:rsidRDefault="00C55DCE"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607D3" w:rsidRPr="00087BAC" w:rsidRDefault="00C06BA5" w:rsidP="008607D3">
      <w:pPr>
        <w:spacing w:after="0" w:line="240" w:lineRule="auto"/>
        <w:contextualSpacing/>
        <w:jc w:val="right"/>
        <w:rPr>
          <w:rFonts w:cs="Tahoma"/>
          <w:b/>
          <w:bCs/>
          <w:color w:val="000000"/>
          <w:sz w:val="20"/>
          <w:szCs w:val="20"/>
        </w:rPr>
      </w:pPr>
      <w:r w:rsidRPr="00087BAC">
        <w:rPr>
          <w:rFonts w:cs="Tahoma"/>
          <w:b/>
          <w:bCs/>
          <w:color w:val="000000"/>
          <w:sz w:val="20"/>
          <w:szCs w:val="20"/>
        </w:rPr>
        <w:t xml:space="preserve">Unidad de Transparencia del Instituto </w:t>
      </w:r>
    </w:p>
    <w:p w:rsidR="00C06BA5" w:rsidRPr="00087BAC" w:rsidRDefault="008607D3" w:rsidP="008607D3">
      <w:pPr>
        <w:spacing w:after="0" w:line="240" w:lineRule="auto"/>
        <w:contextualSpacing/>
        <w:jc w:val="right"/>
        <w:rPr>
          <w:rFonts w:cs="Tahoma"/>
          <w:b/>
          <w:bCs/>
          <w:color w:val="000000"/>
          <w:sz w:val="20"/>
          <w:szCs w:val="20"/>
        </w:rPr>
      </w:pPr>
      <w:r w:rsidRPr="00087BAC">
        <w:rPr>
          <w:rFonts w:cs="Tahoma"/>
          <w:b/>
          <w:bCs/>
          <w:color w:val="000000"/>
          <w:sz w:val="20"/>
          <w:szCs w:val="20"/>
        </w:rPr>
        <w:t>Estatal Electoral de Baja California</w:t>
      </w:r>
    </w:p>
    <w:p w:rsidR="006A1BEB" w:rsidRPr="00087BAC" w:rsidRDefault="006A1BEB" w:rsidP="00C111F8">
      <w:pPr>
        <w:spacing w:after="0" w:line="240" w:lineRule="auto"/>
        <w:contextualSpacing/>
        <w:jc w:val="right"/>
        <w:rPr>
          <w:rFonts w:cs="Tahoma"/>
          <w:b/>
          <w:bCs/>
          <w:color w:val="000000"/>
          <w:sz w:val="20"/>
          <w:szCs w:val="20"/>
        </w:rPr>
      </w:pPr>
    </w:p>
    <w:p w:rsidR="00254B59" w:rsidRPr="00087BAC" w:rsidRDefault="00254B59" w:rsidP="00E046A8">
      <w:pPr>
        <w:spacing w:line="240" w:lineRule="auto"/>
        <w:contextualSpacing/>
        <w:jc w:val="right"/>
        <w:rPr>
          <w:rFonts w:cs="Tahoma"/>
          <w:b/>
          <w:bCs/>
          <w:sz w:val="20"/>
          <w:szCs w:val="20"/>
          <w:lang w:val="es-ES"/>
        </w:rPr>
      </w:pPr>
      <w:r w:rsidRPr="00087BAC">
        <w:rPr>
          <w:rFonts w:cs="Tahoma"/>
          <w:b/>
          <w:bCs/>
          <w:sz w:val="20"/>
          <w:szCs w:val="20"/>
          <w:lang w:val="es-ES"/>
        </w:rPr>
        <w:t>OFICIO No: UTIE</w:t>
      </w:r>
      <w:r w:rsidR="00625B82">
        <w:rPr>
          <w:rFonts w:cs="Tahoma"/>
          <w:b/>
          <w:bCs/>
          <w:sz w:val="20"/>
          <w:szCs w:val="20"/>
          <w:lang w:val="es-ES"/>
        </w:rPr>
        <w:t>E</w:t>
      </w:r>
      <w:r w:rsidRPr="00087BAC">
        <w:rPr>
          <w:rFonts w:cs="Tahoma"/>
          <w:b/>
          <w:bCs/>
          <w:sz w:val="20"/>
          <w:szCs w:val="20"/>
          <w:lang w:val="es-ES"/>
        </w:rPr>
        <w:t>BC</w:t>
      </w:r>
      <w:r w:rsidR="002B0A3C">
        <w:rPr>
          <w:rFonts w:cs="Tahoma"/>
          <w:b/>
          <w:bCs/>
          <w:sz w:val="20"/>
          <w:szCs w:val="20"/>
          <w:lang w:val="es-ES"/>
        </w:rPr>
        <w:t>/6</w:t>
      </w:r>
      <w:r w:rsidR="00D95868">
        <w:rPr>
          <w:rFonts w:cs="Tahoma"/>
          <w:b/>
          <w:bCs/>
          <w:sz w:val="20"/>
          <w:szCs w:val="20"/>
          <w:lang w:val="es-ES"/>
        </w:rPr>
        <w:t>8</w:t>
      </w:r>
      <w:r w:rsidR="00625B82">
        <w:rPr>
          <w:rFonts w:cs="Tahoma"/>
          <w:b/>
          <w:bCs/>
          <w:sz w:val="20"/>
          <w:szCs w:val="20"/>
          <w:lang w:val="es-ES"/>
        </w:rPr>
        <w:t>/2016</w:t>
      </w:r>
    </w:p>
    <w:p w:rsidR="007D3C15" w:rsidRPr="00087BAC" w:rsidRDefault="00254B59" w:rsidP="00730F52">
      <w:pPr>
        <w:spacing w:line="240" w:lineRule="auto"/>
        <w:contextualSpacing/>
        <w:jc w:val="right"/>
        <w:rPr>
          <w:rFonts w:cs="Tahoma"/>
          <w:sz w:val="20"/>
          <w:szCs w:val="20"/>
          <w:lang w:val="es-ES"/>
        </w:rPr>
      </w:pPr>
      <w:r w:rsidRPr="00087BAC">
        <w:rPr>
          <w:rFonts w:cs="Tahoma"/>
          <w:sz w:val="20"/>
          <w:szCs w:val="20"/>
          <w:lang w:val="es-ES"/>
        </w:rPr>
        <w:t xml:space="preserve">Mexicali, Baja California, a </w:t>
      </w:r>
      <w:r w:rsidR="00441466">
        <w:rPr>
          <w:rFonts w:cs="Tahoma"/>
          <w:sz w:val="20"/>
          <w:szCs w:val="20"/>
          <w:lang w:val="es-ES"/>
        </w:rPr>
        <w:t xml:space="preserve"> </w:t>
      </w:r>
      <w:r w:rsidR="002B0A3C">
        <w:rPr>
          <w:rFonts w:cs="Tahoma"/>
          <w:sz w:val="20"/>
          <w:szCs w:val="20"/>
          <w:lang w:val="es-ES"/>
        </w:rPr>
        <w:t>25</w:t>
      </w:r>
      <w:r w:rsidR="000857DC">
        <w:rPr>
          <w:rFonts w:cs="Tahoma"/>
          <w:sz w:val="20"/>
          <w:szCs w:val="20"/>
          <w:lang w:val="es-ES"/>
        </w:rPr>
        <w:t xml:space="preserve"> de enero de 2016</w:t>
      </w:r>
    </w:p>
    <w:p w:rsidR="00D40D73" w:rsidRDefault="00D40D73" w:rsidP="0055220E">
      <w:pPr>
        <w:shd w:val="clear" w:color="auto" w:fill="FFFFFF"/>
        <w:spacing w:after="0" w:line="240" w:lineRule="auto"/>
        <w:rPr>
          <w:rFonts w:cs="Tahoma"/>
          <w:b/>
          <w:sz w:val="20"/>
          <w:szCs w:val="20"/>
          <w:lang w:val="es-ES"/>
        </w:rPr>
      </w:pPr>
    </w:p>
    <w:p w:rsidR="00D40D73" w:rsidRDefault="00D40D73" w:rsidP="0055220E">
      <w:pPr>
        <w:shd w:val="clear" w:color="auto" w:fill="FFFFFF"/>
        <w:spacing w:after="0" w:line="240" w:lineRule="auto"/>
        <w:rPr>
          <w:rFonts w:cs="Tahoma"/>
          <w:b/>
          <w:sz w:val="20"/>
          <w:szCs w:val="20"/>
          <w:lang w:val="es-ES"/>
        </w:rPr>
      </w:pPr>
    </w:p>
    <w:p w:rsidR="005E22AF" w:rsidRDefault="000702A9" w:rsidP="0055220E">
      <w:pPr>
        <w:shd w:val="clear" w:color="auto" w:fill="FFFFFF"/>
        <w:spacing w:after="0" w:line="240" w:lineRule="auto"/>
        <w:rPr>
          <w:rFonts w:cs="Tahoma"/>
          <w:b/>
          <w:bCs/>
          <w:sz w:val="20"/>
          <w:szCs w:val="20"/>
          <w:lang w:val="es-ES"/>
        </w:rPr>
      </w:pPr>
      <w:r w:rsidRPr="00087BAC">
        <w:rPr>
          <w:rFonts w:cs="Tahoma"/>
          <w:b/>
          <w:bCs/>
          <w:sz w:val="20"/>
          <w:szCs w:val="20"/>
          <w:lang w:val="es-ES"/>
        </w:rPr>
        <w:t>P R E S E N T E.</w:t>
      </w:r>
    </w:p>
    <w:p w:rsidR="00EE689A" w:rsidRPr="00FC62F3" w:rsidRDefault="00EE689A" w:rsidP="0055220E">
      <w:pPr>
        <w:shd w:val="clear" w:color="auto" w:fill="FFFFFF"/>
        <w:spacing w:after="0" w:line="240" w:lineRule="auto"/>
        <w:rPr>
          <w:rFonts w:cs="Tahoma"/>
          <w:sz w:val="20"/>
          <w:szCs w:val="20"/>
          <w:lang w:val="es-ES"/>
        </w:rPr>
      </w:pPr>
    </w:p>
    <w:p w:rsidR="00FF157B" w:rsidRDefault="00FC466C" w:rsidP="00531D46">
      <w:pPr>
        <w:spacing w:after="0" w:line="360" w:lineRule="auto"/>
        <w:jc w:val="both"/>
        <w:rPr>
          <w:sz w:val="20"/>
          <w:szCs w:val="20"/>
          <w:lang w:val="es-ES"/>
        </w:rPr>
      </w:pPr>
      <w:r w:rsidRPr="00087BAC">
        <w:rPr>
          <w:sz w:val="20"/>
          <w:szCs w:val="20"/>
          <w:lang w:val="es-ES"/>
        </w:rPr>
        <w:t>En cumplimiento de lo previsto en los artículos 22, 27, 28 y 29 del Reglamento de Transparencia y Acceso a la Información Pública del Instituto Electoral y de Participación Ciudadana del Estado de Baja California y en atención a la solicitud de acceso a la</w:t>
      </w:r>
      <w:r w:rsidR="002B0A3C">
        <w:rPr>
          <w:sz w:val="20"/>
          <w:szCs w:val="20"/>
          <w:lang w:val="es-ES"/>
        </w:rPr>
        <w:t xml:space="preserve"> información recibida </w:t>
      </w:r>
      <w:r w:rsidR="0050483A">
        <w:rPr>
          <w:sz w:val="20"/>
          <w:szCs w:val="20"/>
          <w:lang w:val="es-ES"/>
        </w:rPr>
        <w:t>el día 2</w:t>
      </w:r>
      <w:r w:rsidR="00D95868">
        <w:rPr>
          <w:sz w:val="20"/>
          <w:szCs w:val="20"/>
          <w:lang w:val="es-ES"/>
        </w:rPr>
        <w:t>5</w:t>
      </w:r>
      <w:r w:rsidR="00ED4FC7">
        <w:rPr>
          <w:sz w:val="20"/>
          <w:szCs w:val="20"/>
          <w:lang w:val="es-ES"/>
        </w:rPr>
        <w:t xml:space="preserve"> de en</w:t>
      </w:r>
      <w:r w:rsidR="00464C5B">
        <w:rPr>
          <w:sz w:val="20"/>
          <w:szCs w:val="20"/>
          <w:lang w:val="es-ES"/>
        </w:rPr>
        <w:t xml:space="preserve">ero </w:t>
      </w:r>
      <w:r w:rsidRPr="00087BAC">
        <w:rPr>
          <w:sz w:val="20"/>
          <w:szCs w:val="20"/>
          <w:lang w:val="es-ES"/>
        </w:rPr>
        <w:t xml:space="preserve">del año en curso, a la que correspondió el número de </w:t>
      </w:r>
      <w:r w:rsidR="00A1261F" w:rsidRPr="00087BAC">
        <w:rPr>
          <w:b/>
          <w:bCs/>
          <w:sz w:val="20"/>
          <w:szCs w:val="20"/>
          <w:lang w:val="es-ES"/>
        </w:rPr>
        <w:t xml:space="preserve">folio </w:t>
      </w:r>
      <w:r w:rsidR="00597201" w:rsidRPr="00087BAC">
        <w:rPr>
          <w:b/>
          <w:bCs/>
          <w:sz w:val="20"/>
          <w:szCs w:val="20"/>
          <w:lang w:val="es-ES"/>
        </w:rPr>
        <w:t>00</w:t>
      </w:r>
      <w:r w:rsidR="00C111F8" w:rsidRPr="00087BAC">
        <w:rPr>
          <w:b/>
          <w:bCs/>
          <w:sz w:val="20"/>
          <w:szCs w:val="20"/>
          <w:lang w:val="es-ES"/>
        </w:rPr>
        <w:t>0</w:t>
      </w:r>
      <w:r w:rsidR="000857DC">
        <w:rPr>
          <w:b/>
          <w:bCs/>
          <w:sz w:val="20"/>
          <w:szCs w:val="20"/>
          <w:lang w:val="es-ES"/>
        </w:rPr>
        <w:t>0</w:t>
      </w:r>
      <w:r w:rsidR="00D95868">
        <w:rPr>
          <w:b/>
          <w:bCs/>
          <w:sz w:val="20"/>
          <w:szCs w:val="20"/>
          <w:lang w:val="es-ES"/>
        </w:rPr>
        <w:t>51</w:t>
      </w:r>
      <w:r w:rsidR="00597201" w:rsidRPr="00087BAC">
        <w:rPr>
          <w:sz w:val="20"/>
          <w:szCs w:val="20"/>
          <w:lang w:val="es-ES"/>
        </w:rPr>
        <w:t>,</w:t>
      </w:r>
      <w:r w:rsidR="00A1261F" w:rsidRPr="00087BAC">
        <w:rPr>
          <w:sz w:val="20"/>
          <w:szCs w:val="20"/>
          <w:lang w:val="es-ES"/>
        </w:rPr>
        <w:t xml:space="preserve"> </w:t>
      </w:r>
      <w:r w:rsidRPr="00087BAC">
        <w:rPr>
          <w:sz w:val="20"/>
          <w:szCs w:val="20"/>
          <w:lang w:val="es-ES"/>
        </w:rPr>
        <w:t>se le informa lo siguiente:</w:t>
      </w:r>
    </w:p>
    <w:p w:rsidR="0050483A" w:rsidRPr="00143DD1" w:rsidRDefault="0050483A" w:rsidP="0050483A">
      <w:pPr>
        <w:pStyle w:val="Texto"/>
        <w:spacing w:after="0" w:line="240" w:lineRule="auto"/>
        <w:rPr>
          <w:rFonts w:asciiTheme="minorHAnsi" w:hAnsiTheme="minorHAnsi"/>
          <w:b/>
          <w:sz w:val="22"/>
          <w:szCs w:val="22"/>
          <w:lang w:val="es-ES_tradnl"/>
        </w:rPr>
      </w:pPr>
    </w:p>
    <w:p w:rsidR="0050483A" w:rsidRPr="0050483A" w:rsidRDefault="0050483A" w:rsidP="0050483A">
      <w:pPr>
        <w:pStyle w:val="Texto"/>
        <w:spacing w:after="0" w:line="240" w:lineRule="auto"/>
        <w:rPr>
          <w:rFonts w:asciiTheme="minorHAnsi" w:hAnsiTheme="minorHAnsi"/>
          <w:b/>
          <w:sz w:val="20"/>
          <w:szCs w:val="22"/>
          <w:lang w:val="es-ES_tradnl"/>
        </w:rPr>
      </w:pPr>
      <w:r w:rsidRPr="0050483A">
        <w:rPr>
          <w:rFonts w:asciiTheme="minorHAnsi" w:hAnsiTheme="minorHAnsi"/>
          <w:b/>
          <w:sz w:val="20"/>
          <w:szCs w:val="22"/>
          <w:lang w:val="es-ES_tradnl"/>
        </w:rPr>
        <w:t>PREGUNTA 1:</w:t>
      </w:r>
    </w:p>
    <w:p w:rsidR="0050483A" w:rsidRPr="0050483A" w:rsidRDefault="0050483A" w:rsidP="0050483A">
      <w:pPr>
        <w:pStyle w:val="Texto"/>
        <w:spacing w:after="0" w:line="240" w:lineRule="auto"/>
        <w:rPr>
          <w:rFonts w:asciiTheme="minorHAnsi" w:hAnsiTheme="minorHAnsi"/>
          <w:b/>
          <w:sz w:val="20"/>
          <w:szCs w:val="22"/>
          <w:lang w:val="es-ES_tradnl"/>
        </w:rPr>
      </w:pPr>
    </w:p>
    <w:p w:rsidR="0050483A" w:rsidRPr="0050483A" w:rsidRDefault="0050483A" w:rsidP="0050483A">
      <w:pPr>
        <w:pStyle w:val="Texto"/>
        <w:spacing w:after="0" w:line="240" w:lineRule="auto"/>
        <w:rPr>
          <w:rFonts w:asciiTheme="minorHAnsi" w:hAnsiTheme="minorHAnsi"/>
          <w:sz w:val="20"/>
          <w:szCs w:val="22"/>
          <w:lang w:val="es-ES_tradnl"/>
        </w:rPr>
      </w:pPr>
      <w:r w:rsidRPr="0050483A">
        <w:rPr>
          <w:rFonts w:asciiTheme="minorHAnsi" w:hAnsiTheme="minorHAnsi"/>
          <w:sz w:val="20"/>
          <w:szCs w:val="22"/>
          <w:lang w:val="es-ES_tradnl"/>
        </w:rPr>
        <w:t xml:space="preserve">En relación con la pregunta número uno, relativa a las casillas especiales para la elección 2016, debe atenderse a lo establecido en el artículo 256 de la Ley General de Instituciones y Procedimientos Electorales, misma que establece que entre el 15 de enero y el 15 de abril del año de la elección, se deberá establecer la ubicación de las casillas. Para mayor claridad se transcribe el artículo referido: </w:t>
      </w:r>
    </w:p>
    <w:p w:rsidR="0050483A" w:rsidRPr="0050483A" w:rsidRDefault="0050483A" w:rsidP="0050483A">
      <w:pPr>
        <w:pStyle w:val="Texto"/>
        <w:spacing w:after="0" w:line="240" w:lineRule="auto"/>
        <w:rPr>
          <w:rFonts w:asciiTheme="minorHAnsi" w:hAnsiTheme="minorHAnsi"/>
          <w:sz w:val="20"/>
          <w:szCs w:val="22"/>
          <w:lang w:val="es-ES_tradnl"/>
        </w:rPr>
      </w:pPr>
      <w:r w:rsidRPr="0050483A">
        <w:rPr>
          <w:rFonts w:asciiTheme="minorHAnsi" w:hAnsiTheme="minorHAnsi"/>
          <w:sz w:val="20"/>
          <w:szCs w:val="22"/>
          <w:lang w:val="es-ES_tradnl"/>
        </w:rPr>
        <w:t xml:space="preserve"> </w:t>
      </w:r>
    </w:p>
    <w:p w:rsidR="0050483A" w:rsidRPr="0050483A" w:rsidRDefault="0050483A" w:rsidP="0050483A">
      <w:pPr>
        <w:pStyle w:val="Texto"/>
        <w:spacing w:after="0" w:line="240" w:lineRule="auto"/>
        <w:rPr>
          <w:rFonts w:asciiTheme="minorHAnsi" w:hAnsiTheme="minorHAnsi"/>
          <w:b/>
          <w:sz w:val="20"/>
          <w:szCs w:val="22"/>
          <w:lang w:val="es-ES_tradnl"/>
        </w:rPr>
      </w:pPr>
      <w:r w:rsidRPr="0050483A">
        <w:rPr>
          <w:rFonts w:asciiTheme="minorHAnsi" w:hAnsiTheme="minorHAnsi"/>
          <w:b/>
          <w:sz w:val="20"/>
          <w:szCs w:val="22"/>
          <w:lang w:val="es-ES_tradnl"/>
        </w:rPr>
        <w:t>“</w:t>
      </w:r>
      <w:r w:rsidRPr="0050483A">
        <w:rPr>
          <w:rFonts w:ascii="Calibri" w:hAnsi="Calibri"/>
          <w:b/>
          <w:sz w:val="20"/>
          <w:szCs w:val="22"/>
          <w:lang w:val="es-ES_tradnl"/>
        </w:rPr>
        <w:t>Artículo 256.</w:t>
      </w:r>
    </w:p>
    <w:p w:rsidR="0050483A" w:rsidRPr="0050483A" w:rsidRDefault="0050483A" w:rsidP="0050483A">
      <w:pPr>
        <w:pStyle w:val="Texto"/>
        <w:spacing w:after="0" w:line="240" w:lineRule="auto"/>
        <w:rPr>
          <w:rFonts w:ascii="Calibri" w:hAnsi="Calibri"/>
          <w:b/>
          <w:sz w:val="20"/>
          <w:szCs w:val="22"/>
          <w:lang w:val="es-ES_tradnl"/>
        </w:rPr>
      </w:pPr>
    </w:p>
    <w:p w:rsidR="0050483A" w:rsidRPr="0050483A" w:rsidRDefault="0050483A" w:rsidP="0050483A">
      <w:pPr>
        <w:pStyle w:val="Texto"/>
        <w:spacing w:after="0" w:line="240" w:lineRule="auto"/>
        <w:rPr>
          <w:rFonts w:ascii="Calibri" w:hAnsi="Calibri"/>
          <w:sz w:val="20"/>
          <w:szCs w:val="22"/>
          <w:lang w:val="es-ES_tradnl"/>
        </w:rPr>
      </w:pPr>
      <w:r w:rsidRPr="0050483A">
        <w:rPr>
          <w:rFonts w:ascii="Calibri" w:hAnsi="Calibri"/>
          <w:b/>
          <w:sz w:val="20"/>
          <w:szCs w:val="22"/>
          <w:lang w:val="es-ES_tradnl"/>
        </w:rPr>
        <w:t>1.</w:t>
      </w:r>
      <w:r w:rsidRPr="0050483A">
        <w:rPr>
          <w:rFonts w:ascii="Calibri" w:hAnsi="Calibri"/>
          <w:sz w:val="20"/>
          <w:szCs w:val="22"/>
          <w:lang w:val="es-ES_tradnl"/>
        </w:rPr>
        <w:t xml:space="preserve"> El procedimiento para determinar la ubicación de las casillas será el siguiente:</w:t>
      </w:r>
    </w:p>
    <w:p w:rsidR="0050483A" w:rsidRPr="0050483A" w:rsidRDefault="0050483A" w:rsidP="0050483A">
      <w:pPr>
        <w:pStyle w:val="Texto"/>
        <w:spacing w:after="0" w:line="240" w:lineRule="auto"/>
        <w:ind w:left="720" w:hanging="432"/>
        <w:rPr>
          <w:rFonts w:ascii="Calibri" w:hAnsi="Calibri"/>
          <w:b/>
          <w:sz w:val="20"/>
          <w:szCs w:val="22"/>
          <w:lang w:val="es-ES_tradnl"/>
        </w:rPr>
      </w:pPr>
    </w:p>
    <w:p w:rsidR="0050483A" w:rsidRPr="0050483A" w:rsidRDefault="0050483A" w:rsidP="0050483A">
      <w:pPr>
        <w:pStyle w:val="Texto"/>
        <w:spacing w:after="0" w:line="240" w:lineRule="auto"/>
        <w:ind w:left="720" w:hanging="432"/>
        <w:rPr>
          <w:rFonts w:ascii="Calibri" w:hAnsi="Calibri"/>
          <w:b/>
          <w:i/>
          <w:sz w:val="20"/>
          <w:szCs w:val="22"/>
          <w:u w:val="single"/>
          <w:lang w:val="es-ES_tradnl"/>
        </w:rPr>
      </w:pPr>
      <w:r w:rsidRPr="0050483A">
        <w:rPr>
          <w:rFonts w:ascii="Calibri" w:hAnsi="Calibri"/>
          <w:b/>
          <w:sz w:val="20"/>
          <w:szCs w:val="22"/>
          <w:lang w:val="es-ES_tradnl"/>
        </w:rPr>
        <w:t>a)</w:t>
      </w:r>
      <w:r w:rsidRPr="0050483A">
        <w:rPr>
          <w:rFonts w:ascii="Calibri" w:hAnsi="Calibri"/>
          <w:sz w:val="20"/>
          <w:szCs w:val="22"/>
          <w:lang w:val="es-ES_tradnl"/>
        </w:rPr>
        <w:tab/>
      </w:r>
      <w:r w:rsidRPr="0050483A">
        <w:rPr>
          <w:rFonts w:ascii="Calibri" w:hAnsi="Calibri"/>
          <w:b/>
          <w:i/>
          <w:sz w:val="20"/>
          <w:szCs w:val="22"/>
          <w:u w:val="single"/>
          <w:lang w:val="es-ES_tradnl"/>
        </w:rPr>
        <w:t>Entre el 15 de enero y el 15 de febrero del año de la elección las juntas distritales ejecutivas recorrerán las secciones de los correspondientes distritos con el propósito de localizar lugares que cumplan con los requisitos fijados y no incurran en las prohibiciones establecidas por el artículo anterior;</w:t>
      </w:r>
    </w:p>
    <w:p w:rsidR="0050483A" w:rsidRPr="0050483A" w:rsidRDefault="0050483A" w:rsidP="0050483A">
      <w:pPr>
        <w:pStyle w:val="Texto"/>
        <w:spacing w:after="0" w:line="240" w:lineRule="auto"/>
        <w:ind w:left="720" w:hanging="432"/>
        <w:rPr>
          <w:rFonts w:ascii="Calibri" w:hAnsi="Calibri"/>
          <w:b/>
          <w:sz w:val="20"/>
          <w:szCs w:val="22"/>
          <w:lang w:val="es-ES_tradnl"/>
        </w:rPr>
      </w:pPr>
    </w:p>
    <w:p w:rsidR="0050483A" w:rsidRPr="0050483A" w:rsidRDefault="0050483A" w:rsidP="0050483A">
      <w:pPr>
        <w:pStyle w:val="Texto"/>
        <w:spacing w:after="0" w:line="240" w:lineRule="auto"/>
        <w:ind w:left="720" w:hanging="432"/>
        <w:rPr>
          <w:rFonts w:ascii="Calibri" w:hAnsi="Calibri"/>
          <w:sz w:val="20"/>
          <w:szCs w:val="22"/>
          <w:lang w:val="es-ES_tradnl"/>
        </w:rPr>
      </w:pPr>
      <w:r w:rsidRPr="0050483A">
        <w:rPr>
          <w:rFonts w:ascii="Calibri" w:hAnsi="Calibri"/>
          <w:b/>
          <w:sz w:val="20"/>
          <w:szCs w:val="22"/>
          <w:lang w:val="es-ES_tradnl"/>
        </w:rPr>
        <w:t>b)</w:t>
      </w:r>
      <w:r w:rsidRPr="0050483A">
        <w:rPr>
          <w:rFonts w:ascii="Calibri" w:hAnsi="Calibri"/>
          <w:sz w:val="20"/>
          <w:szCs w:val="22"/>
          <w:lang w:val="es-ES_tradnl"/>
        </w:rPr>
        <w:tab/>
        <w:t>Entre el 16 y el 26 de febrero, las juntas distritales ejecutivas presentarán a los consejos distritales correspondientes una lista proponiendo los lugares en que habrán de ubicarse las casillas;</w:t>
      </w:r>
    </w:p>
    <w:p w:rsidR="0050483A" w:rsidRPr="0050483A" w:rsidRDefault="0050483A" w:rsidP="0050483A">
      <w:pPr>
        <w:pStyle w:val="Texto"/>
        <w:spacing w:after="0" w:line="240" w:lineRule="auto"/>
        <w:ind w:left="720" w:hanging="432"/>
        <w:rPr>
          <w:rFonts w:ascii="Calibri" w:hAnsi="Calibri"/>
          <w:sz w:val="20"/>
          <w:szCs w:val="22"/>
          <w:lang w:val="es-ES_tradnl"/>
        </w:rPr>
      </w:pPr>
    </w:p>
    <w:p w:rsidR="0050483A" w:rsidRPr="0050483A" w:rsidRDefault="0050483A" w:rsidP="0050483A">
      <w:pPr>
        <w:pStyle w:val="Texto"/>
        <w:spacing w:after="0" w:line="240" w:lineRule="auto"/>
        <w:ind w:left="720" w:hanging="432"/>
        <w:rPr>
          <w:rFonts w:ascii="Calibri" w:hAnsi="Calibri"/>
          <w:sz w:val="20"/>
          <w:szCs w:val="22"/>
          <w:lang w:val="es-ES_tradnl"/>
        </w:rPr>
      </w:pPr>
      <w:r w:rsidRPr="0050483A">
        <w:rPr>
          <w:rFonts w:ascii="Calibri" w:hAnsi="Calibri"/>
          <w:b/>
          <w:sz w:val="20"/>
          <w:szCs w:val="22"/>
          <w:lang w:val="es-ES_tradnl"/>
        </w:rPr>
        <w:t>c)</w:t>
      </w:r>
      <w:r w:rsidRPr="0050483A">
        <w:rPr>
          <w:rFonts w:ascii="Calibri" w:hAnsi="Calibri"/>
          <w:sz w:val="20"/>
          <w:szCs w:val="22"/>
          <w:lang w:val="es-ES_tradnl"/>
        </w:rPr>
        <w:tab/>
        <w:t>Recibidas las listas, los consejos examinarán que los lugares propuestos cumplan con los requisitos fijados por el artículo anterior y, en su caso, harán los cambios necesarios;</w:t>
      </w:r>
    </w:p>
    <w:p w:rsidR="0050483A" w:rsidRPr="0050483A" w:rsidRDefault="0050483A" w:rsidP="0050483A">
      <w:pPr>
        <w:pStyle w:val="Texto"/>
        <w:spacing w:after="0" w:line="240" w:lineRule="auto"/>
        <w:ind w:left="720" w:hanging="432"/>
        <w:rPr>
          <w:rFonts w:ascii="Calibri" w:hAnsi="Calibri"/>
          <w:sz w:val="20"/>
          <w:szCs w:val="22"/>
          <w:lang w:val="es-ES_tradnl"/>
        </w:rPr>
      </w:pPr>
    </w:p>
    <w:p w:rsidR="0050483A" w:rsidRPr="0050483A" w:rsidRDefault="0050483A" w:rsidP="0050483A">
      <w:pPr>
        <w:pStyle w:val="Texto"/>
        <w:spacing w:after="0" w:line="240" w:lineRule="auto"/>
        <w:ind w:left="720" w:hanging="432"/>
        <w:rPr>
          <w:rFonts w:ascii="Calibri" w:hAnsi="Calibri"/>
          <w:b/>
          <w:i/>
          <w:sz w:val="20"/>
          <w:szCs w:val="22"/>
          <w:u w:val="single"/>
          <w:lang w:val="es-ES_tradnl"/>
        </w:rPr>
      </w:pPr>
      <w:r w:rsidRPr="0050483A">
        <w:rPr>
          <w:rFonts w:ascii="Calibri" w:hAnsi="Calibri"/>
          <w:b/>
          <w:sz w:val="20"/>
          <w:szCs w:val="22"/>
          <w:lang w:val="es-ES_tradnl"/>
        </w:rPr>
        <w:t>d)</w:t>
      </w:r>
      <w:r w:rsidRPr="0050483A">
        <w:rPr>
          <w:rFonts w:ascii="Calibri" w:hAnsi="Calibri"/>
          <w:sz w:val="20"/>
          <w:szCs w:val="22"/>
          <w:lang w:val="es-ES_tradnl"/>
        </w:rPr>
        <w:tab/>
      </w:r>
      <w:r w:rsidRPr="0050483A">
        <w:rPr>
          <w:rFonts w:ascii="Calibri" w:hAnsi="Calibri"/>
          <w:b/>
          <w:i/>
          <w:sz w:val="20"/>
          <w:szCs w:val="22"/>
          <w:u w:val="single"/>
          <w:lang w:val="es-ES_tradnl"/>
        </w:rPr>
        <w:t>Los consejos distritales, en sesión que celebren a más tardar durante la segunda semana de abril, aprobarán la lista en la que se contenga la ubicación de las casillas;</w:t>
      </w:r>
    </w:p>
    <w:p w:rsidR="0050483A" w:rsidRPr="0050483A" w:rsidRDefault="0050483A" w:rsidP="0050483A">
      <w:pPr>
        <w:pStyle w:val="Texto"/>
        <w:spacing w:after="0" w:line="240" w:lineRule="auto"/>
        <w:ind w:left="720" w:hanging="432"/>
        <w:rPr>
          <w:rFonts w:ascii="Calibri" w:hAnsi="Calibri"/>
          <w:sz w:val="20"/>
          <w:szCs w:val="22"/>
          <w:lang w:val="es-ES_tradnl"/>
        </w:rPr>
      </w:pPr>
    </w:p>
    <w:p w:rsidR="0050483A" w:rsidRPr="0050483A" w:rsidRDefault="0050483A" w:rsidP="0050483A">
      <w:pPr>
        <w:pStyle w:val="Texto"/>
        <w:spacing w:after="0" w:line="240" w:lineRule="auto"/>
        <w:ind w:left="720" w:hanging="432"/>
        <w:rPr>
          <w:rFonts w:ascii="Calibri" w:hAnsi="Calibri"/>
          <w:sz w:val="20"/>
          <w:szCs w:val="22"/>
          <w:lang w:val="es-ES_tradnl"/>
        </w:rPr>
      </w:pPr>
      <w:r w:rsidRPr="0050483A">
        <w:rPr>
          <w:rFonts w:ascii="Calibri" w:hAnsi="Calibri"/>
          <w:b/>
          <w:sz w:val="20"/>
          <w:szCs w:val="22"/>
          <w:lang w:val="es-ES_tradnl"/>
        </w:rPr>
        <w:t>e)</w:t>
      </w:r>
      <w:r w:rsidRPr="0050483A">
        <w:rPr>
          <w:rFonts w:ascii="Calibri" w:hAnsi="Calibri"/>
          <w:sz w:val="20"/>
          <w:szCs w:val="22"/>
          <w:lang w:val="es-ES_tradnl"/>
        </w:rPr>
        <w:tab/>
        <w:t>El presidente del consejo distrital ordenará la publicación de la lista de ubicación de casillas aprobadas, a más tardar el 15 de abril del año de la elección, y</w:t>
      </w:r>
    </w:p>
    <w:p w:rsidR="0050483A" w:rsidRPr="0050483A" w:rsidRDefault="0050483A" w:rsidP="0050483A">
      <w:pPr>
        <w:pStyle w:val="Texto"/>
        <w:spacing w:after="0" w:line="240" w:lineRule="auto"/>
        <w:ind w:left="720" w:hanging="432"/>
        <w:rPr>
          <w:rFonts w:ascii="Calibri" w:hAnsi="Calibri"/>
          <w:sz w:val="20"/>
          <w:szCs w:val="22"/>
          <w:lang w:val="es-ES_tradnl"/>
        </w:rPr>
      </w:pPr>
    </w:p>
    <w:p w:rsidR="0050483A" w:rsidRPr="0050483A" w:rsidRDefault="0050483A" w:rsidP="0050483A">
      <w:pPr>
        <w:pStyle w:val="Texto"/>
        <w:spacing w:after="0" w:line="240" w:lineRule="auto"/>
        <w:ind w:left="720" w:hanging="432"/>
        <w:rPr>
          <w:rFonts w:asciiTheme="minorHAnsi" w:hAnsiTheme="minorHAnsi"/>
          <w:sz w:val="20"/>
          <w:szCs w:val="22"/>
          <w:lang w:val="es-ES_tradnl"/>
        </w:rPr>
      </w:pPr>
      <w:r w:rsidRPr="0050483A">
        <w:rPr>
          <w:rFonts w:ascii="Calibri" w:hAnsi="Calibri"/>
          <w:b/>
          <w:sz w:val="20"/>
          <w:szCs w:val="22"/>
          <w:lang w:val="es-ES_tradnl"/>
        </w:rPr>
        <w:t>f)</w:t>
      </w:r>
      <w:r w:rsidRPr="0050483A">
        <w:rPr>
          <w:rFonts w:ascii="Calibri" w:hAnsi="Calibri"/>
          <w:sz w:val="20"/>
          <w:szCs w:val="22"/>
          <w:lang w:val="es-ES_tradnl"/>
        </w:rPr>
        <w:tab/>
        <w:t>En su caso, el presidente del consejo distrital ordenará una segunda publicación de la lista, con los ajustes correspondientes, entre el día 15 y el 25 de mayo del año de la elección.</w:t>
      </w:r>
      <w:r w:rsidRPr="0050483A">
        <w:rPr>
          <w:rFonts w:asciiTheme="minorHAnsi" w:hAnsiTheme="minorHAnsi"/>
          <w:sz w:val="20"/>
          <w:szCs w:val="22"/>
          <w:lang w:val="es-ES_tradnl"/>
        </w:rPr>
        <w:t>”</w:t>
      </w:r>
    </w:p>
    <w:p w:rsidR="0050483A" w:rsidRPr="0050483A" w:rsidRDefault="0050483A" w:rsidP="0050483A">
      <w:pPr>
        <w:pStyle w:val="Texto"/>
        <w:spacing w:after="0" w:line="240" w:lineRule="auto"/>
        <w:ind w:left="720" w:hanging="432"/>
        <w:rPr>
          <w:rFonts w:asciiTheme="minorHAnsi" w:hAnsiTheme="minorHAnsi"/>
          <w:sz w:val="20"/>
          <w:szCs w:val="22"/>
          <w:lang w:val="es-ES_tradnl"/>
        </w:rPr>
      </w:pPr>
    </w:p>
    <w:p w:rsidR="0050483A" w:rsidRPr="0050483A" w:rsidRDefault="0050483A" w:rsidP="0050483A">
      <w:pPr>
        <w:pStyle w:val="Texto"/>
        <w:spacing w:after="0" w:line="240" w:lineRule="auto"/>
        <w:rPr>
          <w:rFonts w:asciiTheme="minorHAnsi" w:hAnsiTheme="minorHAnsi"/>
          <w:b/>
          <w:sz w:val="20"/>
          <w:szCs w:val="22"/>
          <w:lang w:val="es-ES_tradnl"/>
        </w:rPr>
      </w:pPr>
      <w:r w:rsidRPr="0050483A">
        <w:rPr>
          <w:rFonts w:asciiTheme="minorHAnsi" w:hAnsiTheme="minorHAnsi"/>
          <w:b/>
          <w:sz w:val="20"/>
          <w:szCs w:val="22"/>
          <w:lang w:val="es-ES_tradnl"/>
        </w:rPr>
        <w:t>“</w:t>
      </w:r>
      <w:r w:rsidRPr="0050483A">
        <w:rPr>
          <w:rFonts w:ascii="Calibri" w:hAnsi="Calibri"/>
          <w:b/>
          <w:sz w:val="20"/>
          <w:szCs w:val="22"/>
          <w:lang w:val="es-ES_tradnl"/>
        </w:rPr>
        <w:t>Artículo 253.</w:t>
      </w:r>
    </w:p>
    <w:p w:rsidR="0050483A" w:rsidRPr="0050483A" w:rsidRDefault="0050483A" w:rsidP="0050483A">
      <w:pPr>
        <w:pStyle w:val="Texto"/>
        <w:spacing w:after="0" w:line="240" w:lineRule="auto"/>
        <w:rPr>
          <w:rFonts w:ascii="Calibri" w:hAnsi="Calibri"/>
          <w:b/>
          <w:sz w:val="20"/>
          <w:szCs w:val="22"/>
          <w:lang w:val="es-ES_tradnl"/>
        </w:rPr>
      </w:pPr>
      <w:r w:rsidRPr="0050483A">
        <w:rPr>
          <w:rFonts w:asciiTheme="minorHAnsi" w:hAnsiTheme="minorHAnsi"/>
          <w:b/>
          <w:sz w:val="20"/>
          <w:szCs w:val="22"/>
          <w:lang w:val="es-ES_tradnl"/>
        </w:rPr>
        <w:t>…</w:t>
      </w:r>
    </w:p>
    <w:p w:rsidR="0050483A" w:rsidRPr="0050483A" w:rsidRDefault="0050483A" w:rsidP="0050483A">
      <w:pPr>
        <w:pStyle w:val="Texto"/>
        <w:numPr>
          <w:ilvl w:val="0"/>
          <w:numId w:val="6"/>
        </w:numPr>
        <w:spacing w:after="0" w:line="240" w:lineRule="auto"/>
        <w:rPr>
          <w:rFonts w:asciiTheme="minorHAnsi" w:hAnsiTheme="minorHAnsi"/>
          <w:sz w:val="20"/>
          <w:szCs w:val="22"/>
          <w:lang w:val="es-ES_tradnl"/>
        </w:rPr>
      </w:pPr>
      <w:r w:rsidRPr="0050483A">
        <w:rPr>
          <w:rFonts w:ascii="Calibri" w:hAnsi="Calibri"/>
          <w:sz w:val="20"/>
          <w:szCs w:val="22"/>
          <w:lang w:val="es-ES_tradnl"/>
        </w:rPr>
        <w:t>En elecciones federales o en las elecciones locales concurrentes con la federal, la integración, ubicación y designación de integrantes de las mesas directivas de casillas a instalar para la recepción de la votación, se realizará con base en las disposiciones de esta Ley. En el caso de las elecciones locales concurrentes con la Federal, se deberá integrar una casilla única de conformidad con lo dispuesto en este capítulo y los acuerdos que emita el Consejo General del Instituto.</w:t>
      </w:r>
      <w:r w:rsidRPr="0050483A">
        <w:rPr>
          <w:rFonts w:asciiTheme="minorHAnsi" w:hAnsiTheme="minorHAnsi"/>
          <w:sz w:val="20"/>
          <w:szCs w:val="22"/>
          <w:lang w:val="es-ES_tradnl"/>
        </w:rPr>
        <w:t>”</w:t>
      </w:r>
    </w:p>
    <w:p w:rsidR="0050483A" w:rsidRPr="0050483A" w:rsidRDefault="0050483A" w:rsidP="0050483A">
      <w:pPr>
        <w:pStyle w:val="Texto"/>
        <w:spacing w:after="0" w:line="240" w:lineRule="auto"/>
        <w:rPr>
          <w:rFonts w:ascii="Calibri" w:hAnsi="Calibri"/>
          <w:b/>
          <w:sz w:val="20"/>
          <w:szCs w:val="22"/>
          <w:lang w:val="es-ES_tradnl"/>
        </w:rPr>
      </w:pPr>
    </w:p>
    <w:p w:rsidR="0050483A" w:rsidRPr="0050483A" w:rsidRDefault="0050483A" w:rsidP="0050483A">
      <w:pPr>
        <w:pStyle w:val="Texto"/>
        <w:spacing w:after="0" w:line="240" w:lineRule="auto"/>
        <w:rPr>
          <w:rFonts w:asciiTheme="minorHAnsi" w:hAnsiTheme="minorHAnsi"/>
          <w:b/>
          <w:sz w:val="20"/>
          <w:szCs w:val="22"/>
          <w:lang w:val="es-ES_tradnl"/>
        </w:rPr>
      </w:pPr>
      <w:r w:rsidRPr="0050483A">
        <w:rPr>
          <w:rFonts w:asciiTheme="minorHAnsi" w:hAnsiTheme="minorHAnsi"/>
          <w:b/>
          <w:sz w:val="20"/>
          <w:szCs w:val="22"/>
          <w:lang w:val="es-ES_tradnl"/>
        </w:rPr>
        <w:t>PREGUNTA 2:</w:t>
      </w:r>
    </w:p>
    <w:p w:rsidR="0050483A" w:rsidRPr="0050483A" w:rsidRDefault="0050483A" w:rsidP="0050483A">
      <w:pPr>
        <w:pStyle w:val="Texto"/>
        <w:spacing w:after="0" w:line="240" w:lineRule="auto"/>
        <w:ind w:left="720" w:hanging="432"/>
        <w:rPr>
          <w:rFonts w:ascii="Calibri" w:hAnsi="Calibri"/>
          <w:sz w:val="20"/>
          <w:szCs w:val="22"/>
          <w:lang w:val="es-ES_tradnl"/>
        </w:rPr>
      </w:pPr>
    </w:p>
    <w:p w:rsidR="0050483A" w:rsidRPr="0050483A" w:rsidRDefault="0050483A" w:rsidP="0050483A">
      <w:pPr>
        <w:pStyle w:val="Texto"/>
        <w:spacing w:after="0" w:line="240" w:lineRule="auto"/>
        <w:ind w:firstLine="0"/>
        <w:rPr>
          <w:rFonts w:asciiTheme="minorHAnsi" w:hAnsiTheme="minorHAnsi"/>
          <w:sz w:val="20"/>
          <w:szCs w:val="22"/>
          <w:lang w:val="es-ES_tradnl"/>
        </w:rPr>
      </w:pPr>
      <w:r w:rsidRPr="0050483A">
        <w:rPr>
          <w:rFonts w:asciiTheme="minorHAnsi" w:hAnsiTheme="minorHAnsi"/>
          <w:sz w:val="20"/>
          <w:szCs w:val="22"/>
          <w:lang w:val="es-ES_tradnl"/>
        </w:rPr>
        <w:t>Por lo que respecta a los topes de gastos de precampaña, puede consultar el dictamen número ocho de la Comisión del Régimen de Partidos Políticos, donde se aprobaron los topes máximos de gastos de  precampaña dentro del proceso electoral ordinario 2015-2016, en el siguiente enlace:</w:t>
      </w:r>
    </w:p>
    <w:p w:rsidR="0050483A" w:rsidRPr="0050483A" w:rsidRDefault="0050483A" w:rsidP="0050483A">
      <w:pPr>
        <w:pStyle w:val="Texto"/>
        <w:spacing w:after="0" w:line="240" w:lineRule="auto"/>
        <w:ind w:firstLine="0"/>
        <w:rPr>
          <w:rFonts w:asciiTheme="minorHAnsi" w:hAnsiTheme="minorHAnsi"/>
          <w:sz w:val="20"/>
          <w:szCs w:val="22"/>
          <w:lang w:val="es-ES_tradnl"/>
        </w:rPr>
      </w:pPr>
    </w:p>
    <w:p w:rsidR="0050483A" w:rsidRPr="0050483A" w:rsidRDefault="007C4271" w:rsidP="0050483A">
      <w:pPr>
        <w:pStyle w:val="Texto"/>
        <w:spacing w:after="0" w:line="240" w:lineRule="auto"/>
        <w:ind w:firstLine="0"/>
        <w:rPr>
          <w:rFonts w:ascii="Calibri" w:hAnsi="Calibri"/>
          <w:sz w:val="20"/>
          <w:szCs w:val="22"/>
          <w:lang w:val="es-ES_tradnl"/>
        </w:rPr>
      </w:pPr>
      <w:hyperlink r:id="rId5" w:history="1">
        <w:r w:rsidR="0050483A" w:rsidRPr="0050483A">
          <w:rPr>
            <w:rStyle w:val="Hipervnculo"/>
            <w:rFonts w:asciiTheme="minorHAnsi" w:hAnsiTheme="minorHAnsi"/>
            <w:sz w:val="20"/>
            <w:szCs w:val="22"/>
            <w:lang w:val="es-ES_tradnl"/>
          </w:rPr>
          <w:t>http://www.ieebc.mx/archivos/sesiones/sesiones2015/ext/dictamenes/DIC%208%20CRPPF.pdf</w:t>
        </w:r>
      </w:hyperlink>
      <w:r w:rsidR="0050483A" w:rsidRPr="0050483A">
        <w:rPr>
          <w:rFonts w:asciiTheme="minorHAnsi" w:hAnsiTheme="minorHAnsi"/>
          <w:sz w:val="20"/>
          <w:szCs w:val="22"/>
          <w:lang w:val="es-ES_tradnl"/>
        </w:rPr>
        <w:t xml:space="preserve"> </w:t>
      </w:r>
    </w:p>
    <w:p w:rsidR="0050483A" w:rsidRPr="0050483A" w:rsidRDefault="0050483A" w:rsidP="0050483A">
      <w:pPr>
        <w:pStyle w:val="Texto"/>
        <w:spacing w:after="0" w:line="240" w:lineRule="auto"/>
        <w:rPr>
          <w:rFonts w:asciiTheme="minorHAnsi" w:hAnsiTheme="minorHAnsi"/>
          <w:b/>
          <w:sz w:val="20"/>
          <w:szCs w:val="22"/>
          <w:lang w:val="es-ES_tradnl"/>
        </w:rPr>
      </w:pPr>
    </w:p>
    <w:p w:rsidR="0050483A" w:rsidRPr="0050483A" w:rsidRDefault="0050483A" w:rsidP="0050483A">
      <w:pPr>
        <w:pStyle w:val="Texto"/>
        <w:spacing w:after="0" w:line="240" w:lineRule="auto"/>
        <w:rPr>
          <w:rFonts w:asciiTheme="minorHAnsi" w:hAnsiTheme="minorHAnsi"/>
          <w:b/>
          <w:sz w:val="20"/>
          <w:szCs w:val="22"/>
          <w:lang w:val="es-ES_tradnl"/>
        </w:rPr>
      </w:pPr>
      <w:r w:rsidRPr="0050483A">
        <w:rPr>
          <w:rFonts w:asciiTheme="minorHAnsi" w:hAnsiTheme="minorHAnsi"/>
          <w:b/>
          <w:sz w:val="20"/>
          <w:szCs w:val="22"/>
          <w:lang w:val="es-ES_tradnl"/>
        </w:rPr>
        <w:t>PREGUNTA 3:</w:t>
      </w:r>
    </w:p>
    <w:p w:rsidR="0050483A" w:rsidRPr="0050483A" w:rsidRDefault="0050483A" w:rsidP="0050483A">
      <w:pPr>
        <w:pStyle w:val="Texto"/>
        <w:spacing w:after="0" w:line="240" w:lineRule="auto"/>
        <w:rPr>
          <w:rFonts w:asciiTheme="minorHAnsi" w:hAnsiTheme="minorHAnsi"/>
          <w:b/>
          <w:sz w:val="20"/>
          <w:szCs w:val="22"/>
          <w:lang w:val="es-ES_tradnl"/>
        </w:rPr>
      </w:pPr>
    </w:p>
    <w:p w:rsidR="0050483A" w:rsidRPr="0050483A" w:rsidRDefault="0050483A" w:rsidP="0050483A">
      <w:pPr>
        <w:pStyle w:val="Texto"/>
        <w:spacing w:after="0" w:line="240" w:lineRule="auto"/>
        <w:rPr>
          <w:rFonts w:asciiTheme="minorHAnsi" w:hAnsiTheme="minorHAnsi"/>
          <w:sz w:val="20"/>
          <w:szCs w:val="22"/>
          <w:lang w:val="es-ES_tradnl"/>
        </w:rPr>
      </w:pPr>
      <w:r w:rsidRPr="0050483A">
        <w:rPr>
          <w:rFonts w:asciiTheme="minorHAnsi" w:hAnsiTheme="minorHAnsi"/>
          <w:sz w:val="20"/>
          <w:szCs w:val="22"/>
          <w:lang w:val="es-ES_tradnl"/>
        </w:rPr>
        <w:t>Ahora bien respecto del tercer cuestionamiento, se le informa que el Reglamento de Fiscalización emitido por el Instituto Nacional Electoral, publicado en el Diario Oficial de la Federación el 22 de enero de 2015, en su artículo 207:</w:t>
      </w:r>
    </w:p>
    <w:p w:rsidR="0050483A" w:rsidRPr="0050483A" w:rsidRDefault="0050483A" w:rsidP="0050483A">
      <w:pPr>
        <w:pStyle w:val="Texto"/>
        <w:spacing w:after="0" w:line="240" w:lineRule="auto"/>
        <w:rPr>
          <w:rFonts w:asciiTheme="minorHAnsi" w:hAnsiTheme="minorHAnsi"/>
          <w:b/>
          <w:sz w:val="20"/>
          <w:szCs w:val="22"/>
          <w:lang w:val="es-ES_tradnl"/>
        </w:rPr>
      </w:pPr>
    </w:p>
    <w:p w:rsidR="0050483A" w:rsidRPr="0050483A" w:rsidRDefault="0050483A" w:rsidP="0050483A">
      <w:pPr>
        <w:pStyle w:val="Texto"/>
        <w:spacing w:after="80"/>
        <w:rPr>
          <w:rFonts w:ascii="Calibri" w:hAnsi="Calibri"/>
          <w:b/>
          <w:sz w:val="20"/>
          <w:szCs w:val="22"/>
        </w:rPr>
      </w:pPr>
      <w:r w:rsidRPr="0050483A">
        <w:rPr>
          <w:rFonts w:ascii="Calibri" w:hAnsi="Calibri"/>
          <w:b/>
          <w:sz w:val="20"/>
          <w:szCs w:val="22"/>
          <w:u w:val="single"/>
        </w:rPr>
        <w:t>Artículo 207.</w:t>
      </w:r>
    </w:p>
    <w:p w:rsidR="0050483A" w:rsidRPr="0050483A" w:rsidRDefault="0050483A" w:rsidP="0050483A">
      <w:pPr>
        <w:pStyle w:val="Texto"/>
        <w:spacing w:after="80"/>
        <w:rPr>
          <w:rFonts w:ascii="Calibri" w:hAnsi="Calibri"/>
          <w:b/>
          <w:i/>
          <w:sz w:val="20"/>
          <w:szCs w:val="22"/>
        </w:rPr>
      </w:pPr>
      <w:r w:rsidRPr="0050483A">
        <w:rPr>
          <w:rFonts w:ascii="Calibri" w:hAnsi="Calibri"/>
          <w:b/>
          <w:i/>
          <w:sz w:val="20"/>
          <w:szCs w:val="22"/>
        </w:rPr>
        <w:t>Requisitos para la contratación de anuncios espectaculares</w:t>
      </w:r>
    </w:p>
    <w:p w:rsidR="0050483A" w:rsidRPr="0050483A" w:rsidRDefault="0050483A" w:rsidP="0050483A">
      <w:pPr>
        <w:pStyle w:val="Texto"/>
        <w:spacing w:after="80"/>
        <w:rPr>
          <w:rFonts w:ascii="Calibri" w:hAnsi="Calibri"/>
          <w:sz w:val="20"/>
          <w:szCs w:val="22"/>
        </w:rPr>
      </w:pPr>
      <w:r w:rsidRPr="0050483A">
        <w:rPr>
          <w:rFonts w:ascii="Calibri" w:hAnsi="Calibri"/>
          <w:sz w:val="20"/>
          <w:szCs w:val="22"/>
        </w:rPr>
        <w:t>1. Los partidos, coaliciones y candidatos independientes, solo podrán contratar publicidad considerada como anuncios espectaculares, panorámicos o carteleras para sus campañas electorales, ajustándose a las disposiciones siguientes:</w:t>
      </w:r>
    </w:p>
    <w:p w:rsidR="0050483A" w:rsidRPr="0050483A" w:rsidRDefault="0050483A" w:rsidP="0050483A">
      <w:pPr>
        <w:pStyle w:val="Texto"/>
        <w:spacing w:after="80"/>
        <w:ind w:left="979" w:hanging="432"/>
        <w:rPr>
          <w:rFonts w:ascii="Calibri" w:hAnsi="Calibri"/>
          <w:sz w:val="20"/>
          <w:szCs w:val="22"/>
        </w:rPr>
      </w:pPr>
      <w:r w:rsidRPr="0050483A">
        <w:rPr>
          <w:rFonts w:ascii="Calibri" w:hAnsi="Calibri"/>
          <w:sz w:val="20"/>
          <w:szCs w:val="22"/>
        </w:rPr>
        <w:t>a)</w:t>
      </w:r>
      <w:r w:rsidRPr="0050483A">
        <w:rPr>
          <w:rFonts w:ascii="Calibri" w:hAnsi="Calibri"/>
          <w:sz w:val="20"/>
          <w:szCs w:val="22"/>
        </w:rPr>
        <w:tab/>
        <w:t>Se entenderán como espectaculares, los anuncios panorámicos colocados en estructura de publicidad exterior, consistente en un soporte plano sobre el que se fijan anuncios que contengan la imagen, el nombre de aspirantes, precandidatos, candidatos o candidatos independientes; emblemas, lemas, frases o plataformas electorales que identifiquen a un partido o coalición o a cualquiera de sus precandidatos o candidatos así como aspirantes y candidatos independientes, cuando hagan alusión a favor o en contra cualquier tipo de campaña o candidato, que fueron o debieron ser contratados y pagados, invariablemente por el partido o coalición.</w:t>
      </w:r>
    </w:p>
    <w:p w:rsidR="0050483A" w:rsidRPr="0050483A" w:rsidRDefault="0050483A" w:rsidP="0050483A">
      <w:pPr>
        <w:pStyle w:val="Texto"/>
        <w:spacing w:after="80"/>
        <w:ind w:left="979" w:hanging="432"/>
        <w:rPr>
          <w:rFonts w:ascii="Calibri" w:hAnsi="Calibri"/>
          <w:sz w:val="20"/>
          <w:szCs w:val="22"/>
        </w:rPr>
      </w:pPr>
      <w:r w:rsidRPr="0050483A">
        <w:rPr>
          <w:rFonts w:ascii="Calibri" w:hAnsi="Calibri"/>
          <w:sz w:val="20"/>
          <w:szCs w:val="22"/>
        </w:rPr>
        <w:t>b)</w:t>
      </w:r>
      <w:r w:rsidRPr="0050483A">
        <w:rPr>
          <w:rFonts w:ascii="Calibri" w:hAnsi="Calibri"/>
          <w:sz w:val="20"/>
          <w:szCs w:val="22"/>
        </w:rPr>
        <w:tab/>
      </w:r>
      <w:r w:rsidRPr="0050483A">
        <w:rPr>
          <w:rFonts w:ascii="Calibri" w:hAnsi="Calibri"/>
          <w:b/>
          <w:i/>
          <w:sz w:val="20"/>
          <w:szCs w:val="22"/>
          <w:u w:val="single"/>
        </w:rPr>
        <w:t>Se entiende por anuncios espectaculares panorámicos o carteleras, toda propaganda asentada sobre una estructura metálica con un área igual o superior a doce metros cuadrados, que se contrate y difunda en la vía pública</w:t>
      </w:r>
      <w:r w:rsidRPr="0050483A">
        <w:rPr>
          <w:rFonts w:ascii="Calibri" w:hAnsi="Calibri"/>
          <w:sz w:val="20"/>
          <w:szCs w:val="22"/>
        </w:rPr>
        <w:t>; así como la que se coloque en cualquier espacio físico en lugares donde se celebren eventos públicos, de espectáculos o deportivos, así sea solamente durante la celebración de éstos y cualquier otro medio similar.</w:t>
      </w:r>
    </w:p>
    <w:p w:rsidR="0050483A" w:rsidRPr="00143DD1" w:rsidRDefault="0050483A" w:rsidP="0050483A">
      <w:pPr>
        <w:pStyle w:val="Texto"/>
        <w:spacing w:after="0" w:line="240" w:lineRule="auto"/>
        <w:rPr>
          <w:rFonts w:ascii="Calibri" w:hAnsi="Calibri"/>
          <w:b/>
          <w:sz w:val="22"/>
          <w:szCs w:val="22"/>
        </w:rPr>
      </w:pPr>
    </w:p>
    <w:p w:rsidR="00D75D32" w:rsidRPr="0050483A" w:rsidRDefault="00D75D32" w:rsidP="00087BAC">
      <w:pPr>
        <w:pStyle w:val="Textosinformato"/>
        <w:spacing w:line="360" w:lineRule="auto"/>
        <w:jc w:val="both"/>
        <w:rPr>
          <w:rFonts w:asciiTheme="minorHAnsi" w:hAnsiTheme="minorHAnsi"/>
          <w:sz w:val="20"/>
          <w:szCs w:val="20"/>
          <w:lang w:val="es-ES"/>
        </w:rPr>
      </w:pPr>
    </w:p>
    <w:p w:rsidR="009136DB" w:rsidRPr="00087BAC" w:rsidRDefault="00606CEF" w:rsidP="00087BAC">
      <w:pPr>
        <w:pStyle w:val="Textosinformato"/>
        <w:spacing w:line="360" w:lineRule="auto"/>
        <w:jc w:val="both"/>
        <w:rPr>
          <w:rFonts w:asciiTheme="minorHAnsi" w:hAnsiTheme="minorHAnsi"/>
          <w:sz w:val="20"/>
          <w:szCs w:val="20"/>
          <w:lang w:val="es-MX"/>
        </w:rPr>
      </w:pPr>
      <w:r w:rsidRPr="00087BAC">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087BAC" w:rsidRDefault="007C4271" w:rsidP="00087BAC">
      <w:pPr>
        <w:pStyle w:val="Textosinformato"/>
        <w:spacing w:line="360" w:lineRule="auto"/>
        <w:jc w:val="center"/>
        <w:rPr>
          <w:rFonts w:asciiTheme="minorHAnsi" w:hAnsiTheme="minorHAnsi"/>
          <w:color w:val="3333FF"/>
          <w:sz w:val="20"/>
          <w:szCs w:val="20"/>
          <w:u w:val="single"/>
          <w:lang w:val="es-MX"/>
        </w:rPr>
      </w:pPr>
      <w:hyperlink r:id="rId6" w:history="1">
        <w:r w:rsidR="004643CC" w:rsidRPr="00087BAC">
          <w:rPr>
            <w:rStyle w:val="Hipervnculo"/>
            <w:rFonts w:asciiTheme="minorHAnsi" w:hAnsiTheme="minorHAnsi"/>
            <w:sz w:val="20"/>
            <w:szCs w:val="20"/>
            <w:lang w:val="es-MX"/>
          </w:rPr>
          <w:t>http://itaipbc.org.mx/index.php/inicio/recurso_revision</w:t>
        </w:r>
      </w:hyperlink>
    </w:p>
    <w:p w:rsidR="00910514" w:rsidRDefault="00910514" w:rsidP="00606CEF">
      <w:pPr>
        <w:jc w:val="center"/>
        <w:rPr>
          <w:b/>
          <w:bCs/>
          <w:sz w:val="20"/>
          <w:szCs w:val="20"/>
          <w:lang w:val="es-ES"/>
        </w:rPr>
      </w:pPr>
    </w:p>
    <w:p w:rsidR="00606CEF" w:rsidRPr="00087BAC" w:rsidRDefault="00606CEF" w:rsidP="00606CEF">
      <w:pPr>
        <w:jc w:val="center"/>
        <w:rPr>
          <w:sz w:val="20"/>
          <w:szCs w:val="20"/>
          <w:lang w:val="es-ES"/>
        </w:rPr>
      </w:pPr>
      <w:r w:rsidRPr="00087BAC">
        <w:rPr>
          <w:b/>
          <w:bCs/>
          <w:sz w:val="20"/>
          <w:szCs w:val="20"/>
          <w:lang w:val="es-ES"/>
        </w:rPr>
        <w:t>A T E N T A M E N T E</w:t>
      </w:r>
    </w:p>
    <w:p w:rsidR="00606CEF" w:rsidRDefault="00606CEF" w:rsidP="00606CEF">
      <w:pPr>
        <w:jc w:val="center"/>
        <w:rPr>
          <w:sz w:val="20"/>
          <w:szCs w:val="20"/>
          <w:lang w:val="es-ES"/>
        </w:rPr>
      </w:pPr>
      <w:r w:rsidRPr="00087BAC">
        <w:rPr>
          <w:sz w:val="20"/>
          <w:szCs w:val="20"/>
          <w:lang w:val="es-ES"/>
        </w:rPr>
        <w:t>“Por la Autonomía e Independencia</w:t>
      </w:r>
    </w:p>
    <w:p w:rsidR="000857DC" w:rsidRDefault="000857DC" w:rsidP="00606CEF">
      <w:pPr>
        <w:jc w:val="center"/>
        <w:rPr>
          <w:sz w:val="20"/>
          <w:szCs w:val="20"/>
          <w:lang w:val="es-ES"/>
        </w:rPr>
      </w:pPr>
    </w:p>
    <w:p w:rsidR="000857DC" w:rsidRDefault="000857DC" w:rsidP="00606CEF">
      <w:pPr>
        <w:jc w:val="center"/>
        <w:rPr>
          <w:b/>
          <w:sz w:val="20"/>
          <w:szCs w:val="20"/>
          <w:lang w:val="es-ES"/>
        </w:rPr>
      </w:pPr>
      <w:r w:rsidRPr="000857DC">
        <w:rPr>
          <w:b/>
          <w:sz w:val="20"/>
          <w:szCs w:val="20"/>
          <w:lang w:val="es-ES"/>
        </w:rPr>
        <w:t>LIC. MARIO EDUARDO MALO PAYAN</w:t>
      </w:r>
    </w:p>
    <w:p w:rsidR="00395361" w:rsidRPr="00087BAC" w:rsidRDefault="000857DC" w:rsidP="00395361">
      <w:pPr>
        <w:jc w:val="center"/>
        <w:rPr>
          <w:b/>
          <w:bCs/>
          <w:sz w:val="20"/>
          <w:szCs w:val="20"/>
          <w:lang w:val="es-ES"/>
        </w:rPr>
      </w:pPr>
      <w:r>
        <w:rPr>
          <w:b/>
          <w:sz w:val="20"/>
          <w:szCs w:val="20"/>
          <w:lang w:val="es-ES"/>
        </w:rPr>
        <w:t xml:space="preserve">TITULAR DE LA  </w:t>
      </w:r>
      <w:r w:rsidR="00606CEF" w:rsidRPr="00087BAC">
        <w:rPr>
          <w:b/>
          <w:bCs/>
          <w:sz w:val="20"/>
          <w:szCs w:val="20"/>
          <w:lang w:val="es-ES"/>
        </w:rPr>
        <w:t>UNIDAD DE TRANSPARENCIA</w:t>
      </w:r>
      <w:r w:rsidR="00395361" w:rsidRPr="00087BAC">
        <w:rPr>
          <w:b/>
          <w:bCs/>
          <w:sz w:val="20"/>
          <w:szCs w:val="20"/>
          <w:lang w:val="es-ES"/>
        </w:rPr>
        <w:t xml:space="preserve">DEL INSTITUTO </w:t>
      </w:r>
    </w:p>
    <w:p w:rsidR="00395361" w:rsidRPr="00087BAC" w:rsidRDefault="00395361" w:rsidP="00395361">
      <w:pPr>
        <w:jc w:val="center"/>
        <w:rPr>
          <w:b/>
          <w:bCs/>
          <w:sz w:val="20"/>
          <w:szCs w:val="20"/>
          <w:lang w:val="es-ES"/>
        </w:rPr>
      </w:pPr>
      <w:r w:rsidRPr="00087BAC">
        <w:rPr>
          <w:b/>
          <w:bCs/>
          <w:sz w:val="20"/>
          <w:szCs w:val="20"/>
          <w:lang w:val="es-ES"/>
        </w:rPr>
        <w:t>ESTATAL ELECTORAL DE BAJA CALIFORNIA</w:t>
      </w:r>
    </w:p>
    <w:sectPr w:rsidR="00395361" w:rsidRPr="00087BA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E42DE"/>
    <w:multiLevelType w:val="hybridMultilevel"/>
    <w:tmpl w:val="19647F52"/>
    <w:lvl w:ilvl="0" w:tplc="71F40DB4">
      <w:start w:val="1"/>
      <w:numFmt w:val="decimal"/>
      <w:lvlText w:val="%1."/>
      <w:lvlJc w:val="left"/>
      <w:pPr>
        <w:ind w:left="828" w:hanging="54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FEA6905"/>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B680B"/>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54B59"/>
    <w:rsid w:val="000024C6"/>
    <w:rsid w:val="000027D8"/>
    <w:rsid w:val="000039EF"/>
    <w:rsid w:val="00011DB8"/>
    <w:rsid w:val="00012E92"/>
    <w:rsid w:val="00020321"/>
    <w:rsid w:val="0002485D"/>
    <w:rsid w:val="000318C3"/>
    <w:rsid w:val="00034226"/>
    <w:rsid w:val="00035734"/>
    <w:rsid w:val="0003692D"/>
    <w:rsid w:val="00046FD7"/>
    <w:rsid w:val="00047366"/>
    <w:rsid w:val="0005260F"/>
    <w:rsid w:val="000702A9"/>
    <w:rsid w:val="00073829"/>
    <w:rsid w:val="000857DC"/>
    <w:rsid w:val="00087BAC"/>
    <w:rsid w:val="00095A54"/>
    <w:rsid w:val="000963F6"/>
    <w:rsid w:val="000A051F"/>
    <w:rsid w:val="000A31BF"/>
    <w:rsid w:val="000A4D2B"/>
    <w:rsid w:val="000A6FB4"/>
    <w:rsid w:val="000B096C"/>
    <w:rsid w:val="000B2AE9"/>
    <w:rsid w:val="000B2BC0"/>
    <w:rsid w:val="000B3FD8"/>
    <w:rsid w:val="000D08BA"/>
    <w:rsid w:val="000D5A90"/>
    <w:rsid w:val="000E4BA4"/>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84A57"/>
    <w:rsid w:val="0019477C"/>
    <w:rsid w:val="00196226"/>
    <w:rsid w:val="001B1E0D"/>
    <w:rsid w:val="001B374B"/>
    <w:rsid w:val="001C0865"/>
    <w:rsid w:val="001D0EEA"/>
    <w:rsid w:val="001E03B4"/>
    <w:rsid w:val="001E1A69"/>
    <w:rsid w:val="0020063D"/>
    <w:rsid w:val="0021570B"/>
    <w:rsid w:val="00220D77"/>
    <w:rsid w:val="002226F1"/>
    <w:rsid w:val="00232F55"/>
    <w:rsid w:val="00236BD8"/>
    <w:rsid w:val="00240182"/>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0A3C"/>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903A2"/>
    <w:rsid w:val="00395361"/>
    <w:rsid w:val="003C7845"/>
    <w:rsid w:val="003C7A61"/>
    <w:rsid w:val="003D0DC5"/>
    <w:rsid w:val="003E69ED"/>
    <w:rsid w:val="00400F15"/>
    <w:rsid w:val="00401DCA"/>
    <w:rsid w:val="004046DC"/>
    <w:rsid w:val="00406041"/>
    <w:rsid w:val="0042675E"/>
    <w:rsid w:val="00441466"/>
    <w:rsid w:val="00447698"/>
    <w:rsid w:val="0044776B"/>
    <w:rsid w:val="00451CD3"/>
    <w:rsid w:val="004643CC"/>
    <w:rsid w:val="00464C5B"/>
    <w:rsid w:val="004659C1"/>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0483A"/>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4AD5"/>
    <w:rsid w:val="005E5610"/>
    <w:rsid w:val="005F4F13"/>
    <w:rsid w:val="00603273"/>
    <w:rsid w:val="00603DC7"/>
    <w:rsid w:val="00606CEF"/>
    <w:rsid w:val="006074CA"/>
    <w:rsid w:val="00610CCF"/>
    <w:rsid w:val="006259AF"/>
    <w:rsid w:val="00625B82"/>
    <w:rsid w:val="00626FAF"/>
    <w:rsid w:val="00641114"/>
    <w:rsid w:val="006553FD"/>
    <w:rsid w:val="00663B64"/>
    <w:rsid w:val="00671D20"/>
    <w:rsid w:val="00671E83"/>
    <w:rsid w:val="006812A9"/>
    <w:rsid w:val="00685D3C"/>
    <w:rsid w:val="0069078F"/>
    <w:rsid w:val="006952C7"/>
    <w:rsid w:val="00696BA3"/>
    <w:rsid w:val="0069753F"/>
    <w:rsid w:val="006A1A43"/>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77C43"/>
    <w:rsid w:val="007840D9"/>
    <w:rsid w:val="00784F2A"/>
    <w:rsid w:val="0079008B"/>
    <w:rsid w:val="007937E6"/>
    <w:rsid w:val="007957DD"/>
    <w:rsid w:val="00797CB3"/>
    <w:rsid w:val="007A1722"/>
    <w:rsid w:val="007A1BA3"/>
    <w:rsid w:val="007A1FB0"/>
    <w:rsid w:val="007A70DC"/>
    <w:rsid w:val="007A7C13"/>
    <w:rsid w:val="007A7F67"/>
    <w:rsid w:val="007B18D6"/>
    <w:rsid w:val="007B450D"/>
    <w:rsid w:val="007C1B64"/>
    <w:rsid w:val="007C4271"/>
    <w:rsid w:val="007D0744"/>
    <w:rsid w:val="007D1432"/>
    <w:rsid w:val="007D3C15"/>
    <w:rsid w:val="007E6168"/>
    <w:rsid w:val="007F0C4A"/>
    <w:rsid w:val="008037BE"/>
    <w:rsid w:val="00814267"/>
    <w:rsid w:val="008146C9"/>
    <w:rsid w:val="00816C46"/>
    <w:rsid w:val="008173E1"/>
    <w:rsid w:val="0082311F"/>
    <w:rsid w:val="0083005D"/>
    <w:rsid w:val="008311C2"/>
    <w:rsid w:val="00834614"/>
    <w:rsid w:val="00835EF8"/>
    <w:rsid w:val="008509D7"/>
    <w:rsid w:val="008607D3"/>
    <w:rsid w:val="00866745"/>
    <w:rsid w:val="00866C1C"/>
    <w:rsid w:val="00872C20"/>
    <w:rsid w:val="008840BD"/>
    <w:rsid w:val="00885BE5"/>
    <w:rsid w:val="008A29FD"/>
    <w:rsid w:val="008A6602"/>
    <w:rsid w:val="008C169E"/>
    <w:rsid w:val="008C3143"/>
    <w:rsid w:val="008F044B"/>
    <w:rsid w:val="008F405A"/>
    <w:rsid w:val="00910514"/>
    <w:rsid w:val="009136DB"/>
    <w:rsid w:val="0091445D"/>
    <w:rsid w:val="0092328F"/>
    <w:rsid w:val="009335B1"/>
    <w:rsid w:val="00935137"/>
    <w:rsid w:val="00936E4A"/>
    <w:rsid w:val="009428C8"/>
    <w:rsid w:val="00944746"/>
    <w:rsid w:val="00945C7F"/>
    <w:rsid w:val="00946F5C"/>
    <w:rsid w:val="00962998"/>
    <w:rsid w:val="0096426F"/>
    <w:rsid w:val="00965EB7"/>
    <w:rsid w:val="009717E1"/>
    <w:rsid w:val="00976335"/>
    <w:rsid w:val="00977CBC"/>
    <w:rsid w:val="00983A17"/>
    <w:rsid w:val="009909FF"/>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3556"/>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D03B5"/>
    <w:rsid w:val="00BD3B43"/>
    <w:rsid w:val="00BD3FCD"/>
    <w:rsid w:val="00BE1758"/>
    <w:rsid w:val="00BE2E0C"/>
    <w:rsid w:val="00BF16B9"/>
    <w:rsid w:val="00BF1A18"/>
    <w:rsid w:val="00C006ED"/>
    <w:rsid w:val="00C04CC8"/>
    <w:rsid w:val="00C06907"/>
    <w:rsid w:val="00C06BA5"/>
    <w:rsid w:val="00C10C09"/>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4070"/>
    <w:rsid w:val="00CC5A59"/>
    <w:rsid w:val="00CD6803"/>
    <w:rsid w:val="00CD7B7B"/>
    <w:rsid w:val="00CE1275"/>
    <w:rsid w:val="00CE1E91"/>
    <w:rsid w:val="00CE3352"/>
    <w:rsid w:val="00CF2A92"/>
    <w:rsid w:val="00CF72AF"/>
    <w:rsid w:val="00D06504"/>
    <w:rsid w:val="00D07238"/>
    <w:rsid w:val="00D1409D"/>
    <w:rsid w:val="00D14F4C"/>
    <w:rsid w:val="00D1666E"/>
    <w:rsid w:val="00D17AAA"/>
    <w:rsid w:val="00D2033C"/>
    <w:rsid w:val="00D277B3"/>
    <w:rsid w:val="00D33F98"/>
    <w:rsid w:val="00D40D73"/>
    <w:rsid w:val="00D42A57"/>
    <w:rsid w:val="00D55EAF"/>
    <w:rsid w:val="00D64099"/>
    <w:rsid w:val="00D64667"/>
    <w:rsid w:val="00D741AA"/>
    <w:rsid w:val="00D75D32"/>
    <w:rsid w:val="00D75EF0"/>
    <w:rsid w:val="00D83AB4"/>
    <w:rsid w:val="00D83F36"/>
    <w:rsid w:val="00D87569"/>
    <w:rsid w:val="00D91420"/>
    <w:rsid w:val="00D945F5"/>
    <w:rsid w:val="00D95868"/>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77FD"/>
    <w:rsid w:val="00E50D96"/>
    <w:rsid w:val="00E637F2"/>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4FC7"/>
    <w:rsid w:val="00ED6F9E"/>
    <w:rsid w:val="00EE1CD9"/>
    <w:rsid w:val="00EE1D1F"/>
    <w:rsid w:val="00EE689A"/>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7072"/>
    <w:rsid w:val="00FA77AE"/>
    <w:rsid w:val="00FB0F40"/>
    <w:rsid w:val="00FC22F7"/>
    <w:rsid w:val="00FC466C"/>
    <w:rsid w:val="00FC62F3"/>
    <w:rsid w:val="00FC6490"/>
    <w:rsid w:val="00FD21B9"/>
    <w:rsid w:val="00FD236D"/>
    <w:rsid w:val="00FE7A99"/>
    <w:rsid w:val="00FF157B"/>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o">
    <w:name w:val="Texto"/>
    <w:basedOn w:val="Normal"/>
    <w:link w:val="TextoCar"/>
    <w:rsid w:val="00FF157B"/>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FF157B"/>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FF157B"/>
    <w:rPr>
      <w:rFonts w:ascii="Arial" w:eastAsia="Times New Roman" w:hAnsi="Arial" w:cs="Arial"/>
      <w:sz w:val="18"/>
      <w:szCs w:val="20"/>
      <w:lang w:eastAsia="es-ES"/>
    </w:rPr>
  </w:style>
  <w:style w:type="character" w:customStyle="1" w:styleId="ROMANOSCar">
    <w:name w:val="ROMANOS Car"/>
    <w:link w:val="ROMANOS"/>
    <w:locked/>
    <w:rsid w:val="00FF157B"/>
    <w:rPr>
      <w:rFonts w:ascii="Arial" w:eastAsia="Times New Roman"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hyperlink" Target="http://www.ieebc.mx/archivos/sesiones/sesiones2015/ext/dictamenes/DIC%208%20CRPPF.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835</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2015-11-10T19:07:00Z</cp:lastPrinted>
  <dcterms:created xsi:type="dcterms:W3CDTF">2016-01-26T00:55:00Z</dcterms:created>
  <dcterms:modified xsi:type="dcterms:W3CDTF">2016-01-29T03:01:00Z</dcterms:modified>
</cp:coreProperties>
</file>