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lang w:val="es-MX"/>
        </w:rPr>
        <w:t>C. MARIO EDUARDO MALO PAYAN</w:t>
      </w:r>
    </w:p>
    <w:p w:rsidR="009F1CF8" w:rsidRDefault="009F1CF8" w:rsidP="009F1CF8">
      <w:pPr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TITULAR EJECUTIVO DE LA UNIDAD DE TRANSPARENCIA DEL INSTITUTO ESTATAL ELECTORAL DE BAJA CALIFORNIA.</w:t>
      </w:r>
    </w:p>
    <w:p w:rsidR="009F1CF8" w:rsidRDefault="009F1CF8" w:rsidP="009F1CF8">
      <w:pPr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P r e s e n t e.-</w:t>
      </w:r>
    </w:p>
    <w:p w:rsidR="009F1CF8" w:rsidRDefault="009F1CF8" w:rsidP="009F1CF8">
      <w:pPr>
        <w:jc w:val="both"/>
        <w:rPr>
          <w:rFonts w:ascii="Humanst521 BT" w:hAnsi="Humanst521 BT"/>
          <w:sz w:val="12"/>
          <w:szCs w:val="12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Con fundamento en el artículo 55, fracción I, de la Ley Electoral del Estado de Baja California, y en atención a su oficio número </w:t>
      </w:r>
      <w:r>
        <w:rPr>
          <w:rFonts w:ascii="Humanst521 BT" w:hAnsi="Humanst521 BT"/>
          <w:b/>
          <w:bCs/>
          <w:lang w:val="es-MX"/>
        </w:rPr>
        <w:t>UTIEEBC/794/2016</w:t>
      </w:r>
      <w:r>
        <w:rPr>
          <w:rFonts w:ascii="Humanst521 BT" w:hAnsi="Humanst521 BT"/>
          <w:lang w:val="es-MX"/>
        </w:rPr>
        <w:t xml:space="preserve"> de fecha 19 de agosto de 2016, relativo a las solicitudes de acceso a la información con folios números </w:t>
      </w:r>
      <w:r>
        <w:rPr>
          <w:rFonts w:ascii="Humanst521 BT" w:hAnsi="Humanst521 BT"/>
          <w:b/>
          <w:bCs/>
          <w:lang w:val="es-MX"/>
        </w:rPr>
        <w:t>00152816 y 00152916</w:t>
      </w:r>
      <w:r>
        <w:rPr>
          <w:rFonts w:ascii="Humanst521 BT" w:hAnsi="Humanst521 BT"/>
          <w:lang w:val="es-MX"/>
        </w:rPr>
        <w:t>, mediante la cual se solicita lo siguiente:</w:t>
      </w:r>
    </w:p>
    <w:p w:rsidR="009F1CF8" w:rsidRDefault="009F1CF8" w:rsidP="009F1CF8">
      <w:pPr>
        <w:jc w:val="both"/>
        <w:rPr>
          <w:rFonts w:ascii="Humanst521 BT" w:hAnsi="Humanst521 BT"/>
          <w:i/>
          <w:iCs/>
          <w:sz w:val="16"/>
          <w:szCs w:val="16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i/>
          <w:iCs/>
          <w:sz w:val="12"/>
          <w:szCs w:val="12"/>
          <w:lang w:val="es-MX"/>
        </w:rPr>
      </w:pP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“[…] 1. ¿Cuál es el destino que tienen las multas electorales de las que es competente y a partir de cuándo se tiene ese criterio?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2. ¿ Se le debe de rendir informes sobre el destino de las multas? De ser el caso, por favor le pido comparta los documentos oficiales correspondientes al respecto;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3. ¿Cuál es el monto de multas impuestas en el último proceso electoral?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 xml:space="preserve">Le pido me lo indique diferenciando la persona, física o moral, así como si ya está firme o aún no; 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4. ¿Cuál es el monto histórico de multas impuestas que ya quedaron firmes?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 xml:space="preserve">Le agradecería que la información pueda entregarse legible y en formato woed o Excel, del programa Office.”    </w:t>
      </w:r>
    </w:p>
    <w:p w:rsidR="009F1CF8" w:rsidRDefault="009F1CF8" w:rsidP="009F1CF8">
      <w:pPr>
        <w:pStyle w:val="Sinespaciado"/>
        <w:jc w:val="both"/>
        <w:rPr>
          <w:rFonts w:ascii="Humanst521 BT" w:hAnsi="Humanst521 BT"/>
          <w:sz w:val="12"/>
          <w:szCs w:val="12"/>
          <w:lang w:val="es-ES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En ese sentido me permito informar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Respecto al destino de las multas electorales, le indico que el artículo 458, numeral 8, de la Ley General de Institutciones y Procedimientos Electorales, establece el criterio a seguir en el caso del destino de los recursos obtenidos por la aplicación de sanciones económicas derivadas de infracciones cometidas por los sujetos del régimen sancionador electoral. 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En el caso que nos ocupa, dicha Ley señala que tratándose de autoridades locales, el recurso obtenido se desnitará a organismos estatales encargados de la promoción, fomento y desarrollo de la ciencia y tecnología e innovación. Partiendo de dicho criterio, este Instituto Electoral realizó el análisis correspondiente para determinar el organismo estatal idóneo para la entrega de los recursos obtenidos a razón de las sanciones efectuadas a diversos partidos políticos por la comisión de faltas electorales durante el Proceso Electoral Local Ordinario 2015-2016.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No omito hacer mención, que la Ley General de Institutciones y Procedimientos Electorales entró en vigor a partir del 24 de mayo de 2014, por ende dicho criterio es considerado a partir de esa fecha.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 En relación al cuestionamiento número 2, toda vez que el mismo es ambiguo, le solicito atentamente se precise.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 </w:t>
      </w: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En cuanto a el monto de multas impuestas en el Proceso Electoral Local Ordinario, le informo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rPr>
          <w:rFonts w:ascii="Humanst521 BT" w:hAnsi="Humanst521 BT"/>
          <w:sz w:val="22"/>
          <w:szCs w:val="22"/>
          <w:lang w:val="es-MX"/>
        </w:rPr>
      </w:pPr>
    </w:p>
    <w:tbl>
      <w:tblPr>
        <w:tblW w:w="937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5831"/>
        <w:gridCol w:w="3544"/>
      </w:tblGrid>
      <w:tr w:rsidR="009F1CF8" w:rsidTr="009F1CF8">
        <w:trPr>
          <w:trHeight w:val="705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MULTAS PARTIDOS POLITICOS  DERIVADAS DE LA REVISIÓN DE LOS INFORMES DE CAMPAÑA DE LOS INGRESOS Y GASTOS DE FALTAS ELECTORALES DURANTE EL PROCESO ELECTORAL LOCAL ORDINARIO 2015-2016</w:t>
            </w:r>
          </w:p>
        </w:tc>
      </w:tr>
      <w:tr w:rsidR="009F1CF8" w:rsidTr="009F1CF8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lastRenderedPageBreak/>
              <w:t>PARTIDOS POLITICOS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IMPORTE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ACCIÓN NACIONAL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3,692,091.64 </w:t>
            </w:r>
          </w:p>
        </w:tc>
      </w:tr>
      <w:tr w:rsidR="009F1CF8" w:rsidTr="009F1CF8">
        <w:trPr>
          <w:trHeight w:val="36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REVOLUCIONARIO INSTITUCIONAL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6,764,138.95 </w:t>
            </w:r>
          </w:p>
        </w:tc>
      </w:tr>
      <w:tr w:rsidR="009F1CF8" w:rsidTr="009F1CF8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LA REVOLUCIÓN DEMOCRÁTICA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 10,671,023.25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DEL TRABAJO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1,161,057.07 </w:t>
            </w:r>
          </w:p>
        </w:tc>
      </w:tr>
      <w:tr w:rsidR="009F1CF8" w:rsidTr="009F1CF8">
        <w:trPr>
          <w:trHeight w:val="37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VERDE ECOLOGISTA DE MÉXICO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1,072,152.52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NUEVA ALIANZA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  86,641.25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MOVIMIENTO CIUDADANO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2,457,800.00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BAJA CALIFORNIA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4,988,485.85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ENCUENTRO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4,058,265.42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MORENA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3,041,018.43 </w:t>
            </w:r>
          </w:p>
        </w:tc>
      </w:tr>
      <w:tr w:rsidR="009F1CF8" w:rsidTr="009F1CF8">
        <w:trPr>
          <w:trHeight w:val="40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PENINSULAR DE LAS CALIFORNIAS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2,831,207.09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MUNICIPALISTA DE B.C.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2,062,960.03 </w:t>
            </w:r>
          </w:p>
        </w:tc>
      </w:tr>
      <w:tr w:rsidR="009F1CF8" w:rsidTr="009F1CF8">
        <w:trPr>
          <w:trHeight w:val="36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HUMANISTA DE BAJA CALIFORNIA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2,332,026.96 </w:t>
            </w:r>
          </w:p>
        </w:tc>
      </w:tr>
      <w:tr w:rsidR="009F1CF8" w:rsidTr="009F1CF8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 45,218,868.46 </w:t>
            </w:r>
          </w:p>
        </w:tc>
      </w:tr>
    </w:tbl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tbl>
      <w:tblPr>
        <w:tblW w:w="937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5122"/>
        <w:gridCol w:w="4253"/>
      </w:tblGrid>
      <w:tr w:rsidR="009F1CF8" w:rsidTr="009F1CF8">
        <w:trPr>
          <w:trHeight w:val="633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 xml:space="preserve">MULTAS PARTIDOS POLITICOS DERIVADAS DE LA REVISIÓN DE LOS INFORMES DE PRECAMPAÑA DE LOS INGRESOS Y GASTOS DURANTE EL PROCESO ELECTORAL </w:t>
            </w:r>
          </w:p>
          <w:p w:rsidR="009F1CF8" w:rsidRDefault="009F1CF8">
            <w:pPr>
              <w:jc w:val="center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LOCAL ORDINARIO 2015-2016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PARTIDO POLITICO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MULTA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PARTIDO DE LA REVOLUCIÓN DEMOCRÁTICA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149,157.98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ACCION NACIONAL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   14,754.08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REVOLUCIONARIO INSTITUCIONAL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201,954.41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BAJA CALIFORNIA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204,877.20 </w:t>
            </w:r>
          </w:p>
        </w:tc>
      </w:tr>
      <w:tr w:rsidR="009F1CF8" w:rsidTr="009F1CF8">
        <w:trPr>
          <w:trHeight w:val="18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TOTAL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570,743.67 </w:t>
            </w:r>
          </w:p>
        </w:tc>
      </w:tr>
    </w:tbl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Con relación al monto total de las multas impuestas derivadas de resoluciones que han quedo firmes le indico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Le informo que las multas las cuales ya quedaron firme son las de </w:t>
      </w:r>
      <w:r>
        <w:rPr>
          <w:rFonts w:ascii="Humanst521 BT" w:hAnsi="Humanst521 BT"/>
          <w:b/>
          <w:bCs/>
          <w:i/>
          <w:iCs/>
          <w:lang w:val="es-MX"/>
        </w:rPr>
        <w:t>precampaña</w:t>
      </w:r>
      <w:r>
        <w:rPr>
          <w:rFonts w:ascii="Humanst521 BT" w:hAnsi="Humanst521 BT"/>
          <w:lang w:val="es-MX"/>
        </w:rPr>
        <w:t xml:space="preserve"> de los Partidos Politicos: de la Revolución Democrática, Accion Nacional y Revolucionario Institucional las cuales ascienden a un monto de $365,866.46 (Son trecientos sesenta y cinco Mil Ochocientos Sesenta y Seis Pesos 46/100 Moneda Nacional). 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Sin otro particular de momento, quedo a sus apreciables ordenes. </w:t>
      </w:r>
    </w:p>
    <w:p w:rsidR="009F1CF8" w:rsidRDefault="009F1CF8" w:rsidP="009F1CF8">
      <w:pPr>
        <w:jc w:val="center"/>
        <w:rPr>
          <w:rFonts w:ascii="Humanst521 BT" w:hAnsi="Humanst521 BT"/>
          <w:b/>
          <w:bCs/>
          <w:sz w:val="14"/>
          <w:szCs w:val="14"/>
          <w:lang w:val="es-MX"/>
        </w:rPr>
      </w:pPr>
    </w:p>
    <w:p w:rsidR="009F1CF8" w:rsidRDefault="009F1CF8" w:rsidP="009F1CF8">
      <w:pPr>
        <w:jc w:val="center"/>
        <w:rPr>
          <w:rFonts w:ascii="Humanst521 BT" w:hAnsi="Humanst521 BT"/>
          <w:b/>
          <w:bCs/>
          <w:sz w:val="14"/>
          <w:szCs w:val="14"/>
          <w:lang w:val="es-MX"/>
        </w:rPr>
      </w:pPr>
    </w:p>
    <w:p w:rsidR="009F1CF8" w:rsidRDefault="009F1CF8" w:rsidP="009F1CF8">
      <w:pPr>
        <w:ind w:left="709" w:hanging="709"/>
        <w:jc w:val="both"/>
        <w:rPr>
          <w:rFonts w:ascii="Humanst521 BT" w:hAnsi="Humanst521 BT"/>
          <w:b/>
          <w:bCs/>
          <w:color w:val="0D0D0D"/>
          <w:lang w:val="es-MX"/>
        </w:rPr>
      </w:pPr>
    </w:p>
    <w:p w:rsidR="009F1CF8" w:rsidRDefault="009F1CF8" w:rsidP="009F1CF8">
      <w:pPr>
        <w:ind w:left="709" w:hanging="709"/>
        <w:jc w:val="center"/>
        <w:rPr>
          <w:rFonts w:ascii="Humanst521 BT" w:hAnsi="Humanst521 BT"/>
          <w:b/>
          <w:bCs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 xml:space="preserve">C.P. DEIDA GUADALUPE PADILLA RODRIGUEZ </w:t>
      </w:r>
    </w:p>
    <w:p w:rsidR="009F1CF8" w:rsidRDefault="009F1CF8" w:rsidP="009F1CF8">
      <w:pPr>
        <w:ind w:left="709" w:hanging="709"/>
        <w:jc w:val="center"/>
        <w:rPr>
          <w:rFonts w:ascii="Humanst521 BT" w:hAnsi="Humanst521 BT"/>
          <w:b/>
          <w:bCs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>SECRETARIA EJECUTIVA</w:t>
      </w:r>
    </w:p>
    <w:p w:rsidR="00AF1DE3" w:rsidRDefault="00AF1DE3"/>
    <w:sectPr w:rsidR="00AF1DE3" w:rsidSect="00AF1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53A"/>
    <w:multiLevelType w:val="hybridMultilevel"/>
    <w:tmpl w:val="117E96D4"/>
    <w:lvl w:ilvl="0" w:tplc="659EE000">
      <w:start w:val="1"/>
      <w:numFmt w:val="decimal"/>
      <w:lvlText w:val="%1."/>
      <w:lvlJc w:val="left"/>
      <w:pPr>
        <w:ind w:left="76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9F1CF8"/>
    <w:rsid w:val="00514938"/>
    <w:rsid w:val="009F1CF8"/>
    <w:rsid w:val="00A55C2C"/>
    <w:rsid w:val="00A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F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9F1CF8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F1CF8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Usuario</cp:lastModifiedBy>
  <cp:revision>2</cp:revision>
  <dcterms:created xsi:type="dcterms:W3CDTF">2016-10-17T17:25:00Z</dcterms:created>
  <dcterms:modified xsi:type="dcterms:W3CDTF">2016-10-17T17:25:00Z</dcterms:modified>
</cp:coreProperties>
</file>